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Default Extension="jpeg" ContentType="image/jpeg"/>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pStyle w:val="Title"/>
      </w:pPr>
      <w:r>
        <w:rPr/>
        <w:drawing>
          <wp:anchor distT="0" distB="0" distL="0" distR="0" allowOverlap="1" layoutInCell="1" locked="0" behindDoc="0" simplePos="0" relativeHeight="15729152">
            <wp:simplePos x="0" y="0"/>
            <wp:positionH relativeFrom="page">
              <wp:posOffset>723900</wp:posOffset>
            </wp:positionH>
            <wp:positionV relativeFrom="paragraph">
              <wp:posOffset>3556</wp:posOffset>
            </wp:positionV>
            <wp:extent cx="496569" cy="612140"/>
            <wp:effectExtent l="0" t="0" r="0" b="0"/>
            <wp:wrapNone/>
            <wp:docPr id="1" name="Image 1"/>
            <wp:cNvGraphicFramePr>
              <a:graphicFrameLocks/>
            </wp:cNvGraphicFramePr>
            <a:graphic>
              <a:graphicData uri="http://schemas.openxmlformats.org/drawingml/2006/picture">
                <pic:pic>
                  <pic:nvPicPr>
                    <pic:cNvPr id="1" name="Image 1"/>
                    <pic:cNvPicPr/>
                  </pic:nvPicPr>
                  <pic:blipFill>
                    <a:blip r:embed="rId5" cstate="print"/>
                    <a:stretch>
                      <a:fillRect/>
                    </a:stretch>
                  </pic:blipFill>
                  <pic:spPr>
                    <a:xfrm>
                      <a:off x="0" y="0"/>
                      <a:ext cx="496569" cy="612140"/>
                    </a:xfrm>
                    <a:prstGeom prst="rect">
                      <a:avLst/>
                    </a:prstGeom>
                  </pic:spPr>
                </pic:pic>
              </a:graphicData>
            </a:graphic>
          </wp:anchor>
        </w:drawing>
      </w:r>
      <w:r>
        <w:rPr/>
        <w:t>město</w:t>
      </w:r>
      <w:r>
        <w:rPr>
          <w:spacing w:val="-3"/>
        </w:rPr>
        <w:t> </w:t>
      </w:r>
      <w:r>
        <w:rPr/>
        <w:t>Nový</w:t>
      </w:r>
      <w:r>
        <w:rPr>
          <w:spacing w:val="-3"/>
        </w:rPr>
        <w:t> </w:t>
      </w:r>
      <w:r>
        <w:rPr>
          <w:spacing w:val="-2"/>
        </w:rPr>
        <w:t>Jičín</w:t>
      </w:r>
    </w:p>
    <w:p>
      <w:pPr>
        <w:pStyle w:val="BodyText"/>
        <w:ind w:left="1346" w:right="6142"/>
        <w:rPr>
          <w:rFonts w:ascii="Arial" w:hAnsi="Arial"/>
        </w:rPr>
      </w:pPr>
      <w:r>
        <w:rPr>
          <w:rFonts w:ascii="Arial" w:hAnsi="Arial"/>
        </w:rPr>
        <w:t>Městský</w:t>
      </w:r>
      <w:r>
        <w:rPr>
          <w:rFonts w:ascii="Arial" w:hAnsi="Arial"/>
          <w:spacing w:val="-11"/>
        </w:rPr>
        <w:t> </w:t>
      </w:r>
      <w:r>
        <w:rPr>
          <w:rFonts w:ascii="Arial" w:hAnsi="Arial"/>
        </w:rPr>
        <w:t>úřad</w:t>
      </w:r>
      <w:r>
        <w:rPr>
          <w:rFonts w:ascii="Arial" w:hAnsi="Arial"/>
          <w:spacing w:val="-12"/>
        </w:rPr>
        <w:t> </w:t>
      </w:r>
      <w:r>
        <w:rPr>
          <w:rFonts w:ascii="Arial" w:hAnsi="Arial"/>
        </w:rPr>
        <w:t>Nový</w:t>
      </w:r>
      <w:r>
        <w:rPr>
          <w:rFonts w:ascii="Arial" w:hAnsi="Arial"/>
          <w:spacing w:val="-11"/>
        </w:rPr>
        <w:t> </w:t>
      </w:r>
      <w:r>
        <w:rPr>
          <w:rFonts w:ascii="Arial" w:hAnsi="Arial"/>
        </w:rPr>
        <w:t>Jičín Odbor správy majetku</w:t>
      </w:r>
    </w:p>
    <w:p>
      <w:pPr>
        <w:pStyle w:val="BodyText"/>
        <w:rPr>
          <w:rFonts w:ascii="Arial"/>
          <w:sz w:val="20"/>
        </w:rPr>
      </w:pPr>
    </w:p>
    <w:p>
      <w:pPr>
        <w:pStyle w:val="BodyText"/>
        <w:spacing w:before="106"/>
        <w:rPr>
          <w:rFonts w:ascii="Arial"/>
          <w:sz w:val="20"/>
        </w:rPr>
      </w:pPr>
    </w:p>
    <w:tbl>
      <w:tblPr>
        <w:tblW w:w="0" w:type="auto"/>
        <w:jc w:val="left"/>
        <w:tblInd w:w="3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1646"/>
        <w:gridCol w:w="3759"/>
        <w:gridCol w:w="2603"/>
      </w:tblGrid>
      <w:tr>
        <w:trPr>
          <w:trHeight w:val="250" w:hRule="atLeast"/>
        </w:trPr>
        <w:tc>
          <w:tcPr>
            <w:tcW w:w="1646" w:type="dxa"/>
          </w:tcPr>
          <w:p>
            <w:pPr>
              <w:pStyle w:val="TableParagraph"/>
              <w:spacing w:line="231" w:lineRule="exact"/>
              <w:ind w:left="50"/>
              <w:rPr>
                <w:sz w:val="22"/>
              </w:rPr>
            </w:pPr>
            <w:r>
              <w:rPr>
                <w:sz w:val="22"/>
              </w:rPr>
              <w:t>Váš</w:t>
            </w:r>
            <w:r>
              <w:rPr>
                <w:spacing w:val="-5"/>
                <w:sz w:val="22"/>
              </w:rPr>
              <w:t> </w:t>
            </w:r>
            <w:r>
              <w:rPr>
                <w:sz w:val="22"/>
              </w:rPr>
              <w:t>dopis</w:t>
            </w:r>
            <w:r>
              <w:rPr>
                <w:spacing w:val="-2"/>
                <w:sz w:val="22"/>
              </w:rPr>
              <w:t> </w:t>
            </w:r>
            <w:r>
              <w:rPr>
                <w:spacing w:val="-4"/>
                <w:sz w:val="22"/>
              </w:rPr>
              <w:t>zn.:</w:t>
            </w:r>
          </w:p>
        </w:tc>
        <w:tc>
          <w:tcPr>
            <w:tcW w:w="3759" w:type="dxa"/>
          </w:tcPr>
          <w:p>
            <w:pPr>
              <w:pStyle w:val="TableParagraph"/>
              <w:spacing w:line="240" w:lineRule="auto"/>
              <w:rPr>
                <w:rFonts w:ascii="Times New Roman"/>
                <w:sz w:val="18"/>
              </w:rPr>
            </w:pPr>
          </w:p>
        </w:tc>
        <w:tc>
          <w:tcPr>
            <w:tcW w:w="2603" w:type="dxa"/>
          </w:tcPr>
          <w:p>
            <w:pPr>
              <w:pStyle w:val="TableParagraph"/>
              <w:spacing w:line="231" w:lineRule="exact"/>
              <w:ind w:left="141"/>
              <w:rPr>
                <w:sz w:val="22"/>
              </w:rPr>
            </w:pPr>
            <w:r>
              <w:rPr>
                <w:sz w:val="22"/>
              </w:rPr>
              <w:t>LEGOLA</w:t>
            </w:r>
            <w:r>
              <w:rPr>
                <w:spacing w:val="-7"/>
                <w:sz w:val="22"/>
              </w:rPr>
              <w:t> </w:t>
            </w:r>
            <w:r>
              <w:rPr>
                <w:sz w:val="22"/>
              </w:rPr>
              <w:t>CZECH</w:t>
            </w:r>
            <w:r>
              <w:rPr>
                <w:spacing w:val="-4"/>
                <w:sz w:val="22"/>
              </w:rPr>
              <w:t> </w:t>
            </w:r>
            <w:r>
              <w:rPr>
                <w:spacing w:val="-2"/>
                <w:sz w:val="22"/>
              </w:rPr>
              <w:t>s.r.o.</w:t>
            </w:r>
          </w:p>
        </w:tc>
      </w:tr>
      <w:tr>
        <w:trPr>
          <w:trHeight w:val="253" w:hRule="atLeast"/>
        </w:trPr>
        <w:tc>
          <w:tcPr>
            <w:tcW w:w="1646" w:type="dxa"/>
          </w:tcPr>
          <w:p>
            <w:pPr>
              <w:pStyle w:val="TableParagraph"/>
              <w:ind w:left="50"/>
              <w:rPr>
                <w:sz w:val="22"/>
              </w:rPr>
            </w:pPr>
            <w:r>
              <w:rPr>
                <w:sz w:val="22"/>
              </w:rPr>
              <w:t>Ze</w:t>
            </w:r>
            <w:r>
              <w:rPr>
                <w:spacing w:val="-1"/>
                <w:sz w:val="22"/>
              </w:rPr>
              <w:t> </w:t>
            </w:r>
            <w:r>
              <w:rPr>
                <w:spacing w:val="-4"/>
                <w:sz w:val="22"/>
              </w:rPr>
              <w:t>dne:</w:t>
            </w:r>
          </w:p>
        </w:tc>
        <w:tc>
          <w:tcPr>
            <w:tcW w:w="3759" w:type="dxa"/>
          </w:tcPr>
          <w:p>
            <w:pPr>
              <w:pStyle w:val="TableParagraph"/>
              <w:ind w:left="213"/>
              <w:rPr>
                <w:sz w:val="22"/>
              </w:rPr>
            </w:pPr>
            <w:r>
              <w:rPr>
                <w:spacing w:val="-2"/>
                <w:sz w:val="22"/>
              </w:rPr>
              <w:t>22.04.2024</w:t>
            </w:r>
          </w:p>
        </w:tc>
        <w:tc>
          <w:tcPr>
            <w:tcW w:w="2603" w:type="dxa"/>
          </w:tcPr>
          <w:p>
            <w:pPr>
              <w:pStyle w:val="TableParagraph"/>
              <w:ind w:left="141"/>
              <w:rPr>
                <w:sz w:val="22"/>
              </w:rPr>
            </w:pPr>
            <w:r>
              <w:rPr>
                <w:sz w:val="22"/>
              </w:rPr>
              <w:t>Ing.</w:t>
            </w:r>
            <w:r>
              <w:rPr>
                <w:spacing w:val="-4"/>
                <w:sz w:val="22"/>
              </w:rPr>
              <w:t> </w:t>
            </w:r>
            <w:r>
              <w:rPr>
                <w:sz w:val="22"/>
              </w:rPr>
              <w:t>Jiří</w:t>
            </w:r>
            <w:r>
              <w:rPr>
                <w:spacing w:val="-3"/>
                <w:sz w:val="22"/>
              </w:rPr>
              <w:t> </w:t>
            </w:r>
            <w:r>
              <w:rPr>
                <w:spacing w:val="-2"/>
                <w:sz w:val="22"/>
              </w:rPr>
              <w:t>Kahánek</w:t>
            </w:r>
          </w:p>
        </w:tc>
      </w:tr>
      <w:tr>
        <w:trPr>
          <w:trHeight w:val="253" w:hRule="atLeast"/>
        </w:trPr>
        <w:tc>
          <w:tcPr>
            <w:tcW w:w="1646" w:type="dxa"/>
          </w:tcPr>
          <w:p>
            <w:pPr>
              <w:pStyle w:val="TableParagraph"/>
              <w:ind w:left="50"/>
              <w:rPr>
                <w:sz w:val="22"/>
              </w:rPr>
            </w:pPr>
            <w:r>
              <w:rPr>
                <w:sz w:val="22"/>
              </w:rPr>
              <w:t>Naše</w:t>
            </w:r>
            <w:r>
              <w:rPr>
                <w:spacing w:val="-4"/>
                <w:sz w:val="22"/>
              </w:rPr>
              <w:t> </w:t>
            </w:r>
            <w:r>
              <w:rPr>
                <w:spacing w:val="-2"/>
                <w:sz w:val="22"/>
              </w:rPr>
              <w:t>č.j.:</w:t>
            </w:r>
          </w:p>
        </w:tc>
        <w:tc>
          <w:tcPr>
            <w:tcW w:w="3759" w:type="dxa"/>
          </w:tcPr>
          <w:p>
            <w:pPr>
              <w:pStyle w:val="TableParagraph"/>
              <w:ind w:left="213"/>
              <w:rPr>
                <w:sz w:val="22"/>
              </w:rPr>
            </w:pPr>
            <w:r>
              <w:rPr>
                <w:spacing w:val="-2"/>
                <w:sz w:val="22"/>
              </w:rPr>
              <w:t>MUNJ-63260/2024/OSM-</w:t>
            </w:r>
            <w:r>
              <w:rPr>
                <w:spacing w:val="-5"/>
                <w:sz w:val="22"/>
              </w:rPr>
              <w:t>Hrn</w:t>
            </w:r>
          </w:p>
        </w:tc>
        <w:tc>
          <w:tcPr>
            <w:tcW w:w="2603" w:type="dxa"/>
          </w:tcPr>
          <w:p>
            <w:pPr>
              <w:pStyle w:val="TableParagraph"/>
              <w:spacing w:line="240" w:lineRule="auto"/>
              <w:rPr>
                <w:rFonts w:ascii="Times New Roman"/>
                <w:sz w:val="18"/>
              </w:rPr>
            </w:pPr>
          </w:p>
        </w:tc>
      </w:tr>
      <w:tr>
        <w:trPr>
          <w:trHeight w:val="253" w:hRule="atLeast"/>
        </w:trPr>
        <w:tc>
          <w:tcPr>
            <w:tcW w:w="1646" w:type="dxa"/>
          </w:tcPr>
          <w:p>
            <w:pPr>
              <w:pStyle w:val="TableParagraph"/>
              <w:ind w:left="50"/>
              <w:rPr>
                <w:sz w:val="22"/>
              </w:rPr>
            </w:pPr>
            <w:r>
              <w:rPr>
                <w:sz w:val="22"/>
              </w:rPr>
              <w:t>Spis.</w:t>
            </w:r>
            <w:r>
              <w:rPr>
                <w:spacing w:val="-2"/>
                <w:sz w:val="22"/>
              </w:rPr>
              <w:t> značka:</w:t>
            </w:r>
          </w:p>
        </w:tc>
        <w:tc>
          <w:tcPr>
            <w:tcW w:w="3759" w:type="dxa"/>
          </w:tcPr>
          <w:p>
            <w:pPr>
              <w:pStyle w:val="TableParagraph"/>
              <w:ind w:left="213"/>
              <w:rPr>
                <w:sz w:val="22"/>
              </w:rPr>
            </w:pPr>
            <w:r>
              <w:rPr>
                <w:spacing w:val="-2"/>
                <w:sz w:val="22"/>
              </w:rPr>
              <w:t>MUNJ-12726/2024/OSM-Hrn-</w:t>
            </w:r>
            <w:r>
              <w:rPr>
                <w:spacing w:val="-4"/>
                <w:sz w:val="22"/>
              </w:rPr>
              <w:t>2213</w:t>
            </w:r>
          </w:p>
        </w:tc>
        <w:tc>
          <w:tcPr>
            <w:tcW w:w="2603" w:type="dxa"/>
          </w:tcPr>
          <w:p>
            <w:pPr>
              <w:pStyle w:val="TableParagraph"/>
              <w:ind w:left="141"/>
              <w:rPr>
                <w:sz w:val="22"/>
              </w:rPr>
            </w:pPr>
            <w:r>
              <w:rPr>
                <w:sz w:val="22"/>
              </w:rPr>
              <w:t>Klínová</w:t>
            </w:r>
            <w:r>
              <w:rPr>
                <w:spacing w:val="-6"/>
                <w:sz w:val="22"/>
              </w:rPr>
              <w:t> </w:t>
            </w:r>
            <w:r>
              <w:rPr>
                <w:spacing w:val="-2"/>
                <w:sz w:val="22"/>
              </w:rPr>
              <w:t>620/1,</w:t>
            </w:r>
          </w:p>
        </w:tc>
      </w:tr>
      <w:tr>
        <w:trPr>
          <w:trHeight w:val="251" w:hRule="atLeast"/>
        </w:trPr>
        <w:tc>
          <w:tcPr>
            <w:tcW w:w="1646" w:type="dxa"/>
          </w:tcPr>
          <w:p>
            <w:pPr>
              <w:pStyle w:val="TableParagraph"/>
              <w:spacing w:line="240" w:lineRule="auto"/>
              <w:rPr>
                <w:rFonts w:ascii="Times New Roman"/>
                <w:sz w:val="18"/>
              </w:rPr>
            </w:pPr>
          </w:p>
        </w:tc>
        <w:tc>
          <w:tcPr>
            <w:tcW w:w="3759" w:type="dxa"/>
          </w:tcPr>
          <w:p>
            <w:pPr>
              <w:pStyle w:val="TableParagraph"/>
              <w:spacing w:line="240" w:lineRule="auto"/>
              <w:rPr>
                <w:rFonts w:ascii="Times New Roman"/>
                <w:sz w:val="18"/>
              </w:rPr>
            </w:pPr>
          </w:p>
        </w:tc>
        <w:tc>
          <w:tcPr>
            <w:tcW w:w="2603" w:type="dxa"/>
          </w:tcPr>
          <w:p>
            <w:pPr>
              <w:pStyle w:val="TableParagraph"/>
              <w:spacing w:line="232" w:lineRule="exact"/>
              <w:ind w:left="141"/>
              <w:rPr>
                <w:sz w:val="22"/>
              </w:rPr>
            </w:pPr>
            <w:r>
              <w:rPr>
                <w:sz w:val="22"/>
              </w:rPr>
              <w:t>709</w:t>
            </w:r>
            <w:r>
              <w:rPr>
                <w:spacing w:val="-4"/>
                <w:sz w:val="22"/>
              </w:rPr>
              <w:t> </w:t>
            </w:r>
            <w:r>
              <w:rPr>
                <w:sz w:val="22"/>
              </w:rPr>
              <w:t>00</w:t>
            </w:r>
            <w:r>
              <w:rPr>
                <w:spacing w:val="-6"/>
                <w:sz w:val="22"/>
              </w:rPr>
              <w:t> </w:t>
            </w:r>
            <w:r>
              <w:rPr>
                <w:sz w:val="22"/>
              </w:rPr>
              <w:t>Ostrava,</w:t>
            </w:r>
            <w:r>
              <w:rPr>
                <w:spacing w:val="-2"/>
                <w:sz w:val="22"/>
              </w:rPr>
              <w:t> Hulváky</w:t>
            </w:r>
          </w:p>
        </w:tc>
      </w:tr>
      <w:tr>
        <w:trPr>
          <w:trHeight w:val="253" w:hRule="atLeast"/>
        </w:trPr>
        <w:tc>
          <w:tcPr>
            <w:tcW w:w="1646" w:type="dxa"/>
          </w:tcPr>
          <w:p>
            <w:pPr>
              <w:pStyle w:val="TableParagraph"/>
              <w:ind w:left="50"/>
              <w:rPr>
                <w:sz w:val="22"/>
              </w:rPr>
            </w:pPr>
            <w:r>
              <w:rPr>
                <w:spacing w:val="-2"/>
                <w:sz w:val="22"/>
              </w:rPr>
              <w:t>Vyřizuje:</w:t>
            </w:r>
          </w:p>
        </w:tc>
        <w:tc>
          <w:tcPr>
            <w:tcW w:w="3759" w:type="dxa"/>
          </w:tcPr>
          <w:p>
            <w:pPr>
              <w:pStyle w:val="TableParagraph"/>
              <w:ind w:left="213"/>
              <w:rPr>
                <w:sz w:val="22"/>
              </w:rPr>
            </w:pPr>
            <w:r>
              <w:rPr>
                <w:sz w:val="22"/>
              </w:rPr>
              <w:t>Ing.</w:t>
            </w:r>
            <w:r>
              <w:rPr>
                <w:spacing w:val="-4"/>
                <w:sz w:val="22"/>
              </w:rPr>
              <w:t> </w:t>
            </w:r>
            <w:r>
              <w:rPr>
                <w:sz w:val="22"/>
              </w:rPr>
              <w:t>Tomáš</w:t>
            </w:r>
            <w:r>
              <w:rPr>
                <w:spacing w:val="-3"/>
                <w:sz w:val="22"/>
              </w:rPr>
              <w:t> </w:t>
            </w:r>
            <w:r>
              <w:rPr>
                <w:spacing w:val="-4"/>
                <w:sz w:val="22"/>
              </w:rPr>
              <w:t>Hrňa</w:t>
            </w:r>
          </w:p>
        </w:tc>
        <w:tc>
          <w:tcPr>
            <w:tcW w:w="2603" w:type="dxa"/>
          </w:tcPr>
          <w:p>
            <w:pPr>
              <w:pStyle w:val="TableParagraph"/>
              <w:spacing w:line="240" w:lineRule="auto"/>
              <w:rPr>
                <w:rFonts w:ascii="Times New Roman"/>
                <w:sz w:val="18"/>
              </w:rPr>
            </w:pPr>
          </w:p>
        </w:tc>
      </w:tr>
      <w:tr>
        <w:trPr>
          <w:trHeight w:val="253" w:hRule="atLeast"/>
        </w:trPr>
        <w:tc>
          <w:tcPr>
            <w:tcW w:w="1646" w:type="dxa"/>
          </w:tcPr>
          <w:p>
            <w:pPr>
              <w:pStyle w:val="TableParagraph"/>
              <w:ind w:left="50"/>
              <w:rPr>
                <w:sz w:val="22"/>
              </w:rPr>
            </w:pPr>
            <w:r>
              <w:rPr>
                <w:spacing w:val="-2"/>
                <w:sz w:val="22"/>
              </w:rPr>
              <w:t>Pracoviště:</w:t>
            </w:r>
          </w:p>
        </w:tc>
        <w:tc>
          <w:tcPr>
            <w:tcW w:w="3759" w:type="dxa"/>
          </w:tcPr>
          <w:p>
            <w:pPr>
              <w:pStyle w:val="TableParagraph"/>
              <w:ind w:left="213"/>
              <w:rPr>
                <w:sz w:val="22"/>
              </w:rPr>
            </w:pPr>
            <w:r>
              <w:rPr>
                <w:sz w:val="22"/>
              </w:rPr>
              <w:t>Masarykovo</w:t>
            </w:r>
            <w:r>
              <w:rPr>
                <w:spacing w:val="-8"/>
                <w:sz w:val="22"/>
              </w:rPr>
              <w:t> </w:t>
            </w:r>
            <w:r>
              <w:rPr>
                <w:sz w:val="22"/>
              </w:rPr>
              <w:t>nám.</w:t>
            </w:r>
            <w:r>
              <w:rPr>
                <w:spacing w:val="-6"/>
                <w:sz w:val="22"/>
              </w:rPr>
              <w:t> </w:t>
            </w:r>
            <w:r>
              <w:rPr>
                <w:spacing w:val="-5"/>
                <w:sz w:val="22"/>
              </w:rPr>
              <w:t>1/1</w:t>
            </w:r>
          </w:p>
        </w:tc>
        <w:tc>
          <w:tcPr>
            <w:tcW w:w="2603" w:type="dxa"/>
          </w:tcPr>
          <w:p>
            <w:pPr>
              <w:pStyle w:val="TableParagraph"/>
              <w:spacing w:line="240" w:lineRule="auto"/>
              <w:rPr>
                <w:rFonts w:ascii="Times New Roman"/>
                <w:sz w:val="18"/>
              </w:rPr>
            </w:pPr>
          </w:p>
        </w:tc>
      </w:tr>
      <w:tr>
        <w:trPr>
          <w:trHeight w:val="253" w:hRule="atLeast"/>
        </w:trPr>
        <w:tc>
          <w:tcPr>
            <w:tcW w:w="1646" w:type="dxa"/>
          </w:tcPr>
          <w:p>
            <w:pPr>
              <w:pStyle w:val="TableParagraph"/>
              <w:ind w:left="50"/>
              <w:rPr>
                <w:sz w:val="22"/>
              </w:rPr>
            </w:pPr>
            <w:r>
              <w:rPr>
                <w:spacing w:val="-2"/>
                <w:sz w:val="22"/>
              </w:rPr>
              <w:t>Telefon:</w:t>
            </w:r>
          </w:p>
        </w:tc>
        <w:tc>
          <w:tcPr>
            <w:tcW w:w="3759" w:type="dxa"/>
          </w:tcPr>
          <w:p>
            <w:pPr>
              <w:pStyle w:val="TableParagraph"/>
              <w:ind w:left="213"/>
              <w:rPr>
                <w:sz w:val="22"/>
              </w:rPr>
            </w:pPr>
            <w:r>
              <w:rPr>
                <w:spacing w:val="-2"/>
                <w:sz w:val="22"/>
              </w:rPr>
              <w:t>556768381</w:t>
            </w:r>
          </w:p>
        </w:tc>
        <w:tc>
          <w:tcPr>
            <w:tcW w:w="2603" w:type="dxa"/>
          </w:tcPr>
          <w:p>
            <w:pPr>
              <w:pStyle w:val="TableParagraph"/>
              <w:spacing w:line="240" w:lineRule="auto"/>
              <w:rPr>
                <w:rFonts w:ascii="Times New Roman"/>
                <w:sz w:val="18"/>
              </w:rPr>
            </w:pPr>
          </w:p>
        </w:tc>
      </w:tr>
      <w:tr>
        <w:trPr>
          <w:trHeight w:val="253" w:hRule="atLeast"/>
        </w:trPr>
        <w:tc>
          <w:tcPr>
            <w:tcW w:w="1646" w:type="dxa"/>
          </w:tcPr>
          <w:p>
            <w:pPr>
              <w:pStyle w:val="TableParagraph"/>
              <w:ind w:left="50"/>
              <w:rPr>
                <w:sz w:val="22"/>
              </w:rPr>
            </w:pPr>
            <w:r>
              <w:rPr>
                <w:spacing w:val="-2"/>
                <w:sz w:val="22"/>
              </w:rPr>
              <w:t>Mobil:</w:t>
            </w:r>
          </w:p>
        </w:tc>
        <w:tc>
          <w:tcPr>
            <w:tcW w:w="3759" w:type="dxa"/>
          </w:tcPr>
          <w:p>
            <w:pPr>
              <w:pStyle w:val="TableParagraph"/>
              <w:spacing w:line="240" w:lineRule="auto"/>
              <w:rPr>
                <w:rFonts w:ascii="Times New Roman"/>
                <w:sz w:val="18"/>
              </w:rPr>
            </w:pPr>
          </w:p>
        </w:tc>
        <w:tc>
          <w:tcPr>
            <w:tcW w:w="2603" w:type="dxa"/>
          </w:tcPr>
          <w:p>
            <w:pPr>
              <w:pStyle w:val="TableParagraph"/>
              <w:spacing w:line="240" w:lineRule="auto"/>
              <w:rPr>
                <w:rFonts w:ascii="Times New Roman"/>
                <w:sz w:val="18"/>
              </w:rPr>
            </w:pPr>
          </w:p>
        </w:tc>
      </w:tr>
      <w:tr>
        <w:trPr>
          <w:trHeight w:val="755" w:hRule="atLeast"/>
        </w:trPr>
        <w:tc>
          <w:tcPr>
            <w:tcW w:w="1646" w:type="dxa"/>
          </w:tcPr>
          <w:p>
            <w:pPr>
              <w:pStyle w:val="TableParagraph"/>
              <w:spacing w:line="249" w:lineRule="exact"/>
              <w:ind w:left="50"/>
              <w:rPr>
                <w:sz w:val="22"/>
              </w:rPr>
            </w:pPr>
            <w:r>
              <w:rPr>
                <w:spacing w:val="-2"/>
                <w:sz w:val="22"/>
              </w:rPr>
              <w:t>E-mail:</w:t>
            </w:r>
          </w:p>
          <w:p>
            <w:pPr>
              <w:pStyle w:val="TableParagraph"/>
              <w:spacing w:line="240" w:lineRule="auto"/>
              <w:rPr>
                <w:sz w:val="22"/>
              </w:rPr>
            </w:pPr>
          </w:p>
          <w:p>
            <w:pPr>
              <w:pStyle w:val="TableParagraph"/>
              <w:ind w:left="50"/>
              <w:rPr>
                <w:sz w:val="22"/>
              </w:rPr>
            </w:pPr>
            <w:r>
              <w:rPr>
                <w:spacing w:val="-2"/>
                <w:sz w:val="22"/>
              </w:rPr>
              <w:t>Datum:</w:t>
            </w:r>
          </w:p>
        </w:tc>
        <w:tc>
          <w:tcPr>
            <w:tcW w:w="3759" w:type="dxa"/>
          </w:tcPr>
          <w:p>
            <w:pPr>
              <w:pStyle w:val="TableParagraph"/>
              <w:spacing w:line="249" w:lineRule="exact"/>
              <w:ind w:left="213"/>
              <w:rPr>
                <w:sz w:val="22"/>
              </w:rPr>
            </w:pPr>
            <w:hyperlink r:id="rId6">
              <w:r>
                <w:rPr>
                  <w:spacing w:val="-2"/>
                  <w:sz w:val="22"/>
                </w:rPr>
                <w:t>tomas.hrna@novyjicin.cz</w:t>
              </w:r>
            </w:hyperlink>
          </w:p>
          <w:p>
            <w:pPr>
              <w:pStyle w:val="TableParagraph"/>
              <w:spacing w:line="240" w:lineRule="auto"/>
              <w:rPr>
                <w:sz w:val="22"/>
              </w:rPr>
            </w:pPr>
          </w:p>
          <w:p>
            <w:pPr>
              <w:pStyle w:val="TableParagraph"/>
              <w:ind w:left="213"/>
              <w:rPr>
                <w:sz w:val="22"/>
              </w:rPr>
            </w:pPr>
            <w:r>
              <w:rPr>
                <w:spacing w:val="-2"/>
                <w:sz w:val="22"/>
              </w:rPr>
              <w:t>23.04.2024</w:t>
            </w:r>
          </w:p>
        </w:tc>
        <w:tc>
          <w:tcPr>
            <w:tcW w:w="2603" w:type="dxa"/>
          </w:tcPr>
          <w:p>
            <w:pPr>
              <w:pStyle w:val="TableParagraph"/>
              <w:spacing w:line="240" w:lineRule="auto"/>
              <w:rPr>
                <w:rFonts w:ascii="Times New Roman"/>
                <w:sz w:val="20"/>
              </w:rPr>
            </w:pPr>
          </w:p>
        </w:tc>
      </w:tr>
    </w:tbl>
    <w:p>
      <w:pPr>
        <w:pStyle w:val="BodyText"/>
        <w:rPr>
          <w:rFonts w:ascii="Arial"/>
        </w:rPr>
      </w:pPr>
    </w:p>
    <w:p>
      <w:pPr>
        <w:pStyle w:val="BodyText"/>
        <w:rPr>
          <w:rFonts w:ascii="Arial"/>
        </w:rPr>
      </w:pPr>
    </w:p>
    <w:p>
      <w:pPr>
        <w:pStyle w:val="BodyText"/>
        <w:spacing w:before="71"/>
        <w:rPr>
          <w:rFonts w:ascii="Arial"/>
        </w:rPr>
      </w:pPr>
    </w:p>
    <w:p>
      <w:pPr>
        <w:pStyle w:val="BodyText"/>
        <w:ind w:left="393"/>
      </w:pPr>
      <w:r>
        <w:rPr/>
        <mc:AlternateContent>
          <mc:Choice Requires="wps">
            <w:drawing>
              <wp:anchor distT="0" distB="0" distL="0" distR="0" allowOverlap="1" layoutInCell="1" locked="0" behindDoc="1" simplePos="0" relativeHeight="487587840">
                <wp:simplePos x="0" y="0"/>
                <wp:positionH relativeFrom="page">
                  <wp:posOffset>701344</wp:posOffset>
                </wp:positionH>
                <wp:positionV relativeFrom="paragraph">
                  <wp:posOffset>185133</wp:posOffset>
                </wp:positionV>
                <wp:extent cx="6158230" cy="6350"/>
                <wp:effectExtent l="0" t="0" r="0" b="0"/>
                <wp:wrapTopAndBottom/>
                <wp:docPr id="2" name="Graphic 2"/>
                <wp:cNvGraphicFramePr>
                  <a:graphicFrameLocks/>
                </wp:cNvGraphicFramePr>
                <a:graphic>
                  <a:graphicData uri="http://schemas.microsoft.com/office/word/2010/wordprocessingShape">
                    <wps:wsp>
                      <wps:cNvPr id="2" name="Graphic 2"/>
                      <wps:cNvSpPr/>
                      <wps:spPr>
                        <a:xfrm>
                          <a:off x="0" y="0"/>
                          <a:ext cx="6158230" cy="6350"/>
                        </a:xfrm>
                        <a:custGeom>
                          <a:avLst/>
                          <a:gdLst/>
                          <a:ahLst/>
                          <a:cxnLst/>
                          <a:rect l="l" t="t" r="r" b="b"/>
                          <a:pathLst>
                            <a:path w="6158230" h="6350">
                              <a:moveTo>
                                <a:pt x="6158230" y="0"/>
                              </a:moveTo>
                              <a:lnTo>
                                <a:pt x="0" y="0"/>
                              </a:lnTo>
                              <a:lnTo>
                                <a:pt x="0" y="6096"/>
                              </a:lnTo>
                              <a:lnTo>
                                <a:pt x="6158230" y="6096"/>
                              </a:lnTo>
                              <a:lnTo>
                                <a:pt x="615823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rect style="position:absolute;margin-left:55.223999pt;margin-top:14.577432pt;width:484.9pt;height:.48001pt;mso-position-horizontal-relative:page;mso-position-vertical-relative:paragraph;z-index:-15728640;mso-wrap-distance-left:0;mso-wrap-distance-right:0" id="docshape1" filled="true" fillcolor="#000000" stroked="false">
                <v:fill type="solid"/>
                <w10:wrap type="topAndBottom"/>
              </v:rect>
            </w:pict>
          </mc:Fallback>
        </mc:AlternateContent>
      </w:r>
      <w:r>
        <w:rPr/>
        <w:t>Vyjádření</w:t>
      </w:r>
      <w:r>
        <w:rPr>
          <w:spacing w:val="-4"/>
        </w:rPr>
        <w:t> </w:t>
      </w:r>
      <w:r>
        <w:rPr/>
        <w:t>k</w:t>
      </w:r>
      <w:r>
        <w:rPr>
          <w:spacing w:val="-5"/>
        </w:rPr>
        <w:t> </w:t>
      </w:r>
      <w:r>
        <w:rPr/>
        <w:t>projektové</w:t>
      </w:r>
      <w:r>
        <w:rPr>
          <w:spacing w:val="-3"/>
        </w:rPr>
        <w:t> </w:t>
      </w:r>
      <w:r>
        <w:rPr>
          <w:spacing w:val="-2"/>
        </w:rPr>
        <w:t>dokumentaci</w:t>
      </w:r>
    </w:p>
    <w:p>
      <w:pPr>
        <w:pStyle w:val="BodyText"/>
        <w:spacing w:before="265"/>
        <w:ind w:left="393"/>
        <w:jc w:val="both"/>
      </w:pPr>
      <w:r>
        <w:rPr/>
        <w:t>Město</w:t>
      </w:r>
      <w:r>
        <w:rPr>
          <w:spacing w:val="25"/>
        </w:rPr>
        <w:t> </w:t>
      </w:r>
      <w:r>
        <w:rPr/>
        <w:t>Nový</w:t>
      </w:r>
      <w:r>
        <w:rPr>
          <w:spacing w:val="27"/>
        </w:rPr>
        <w:t> </w:t>
      </w:r>
      <w:r>
        <w:rPr/>
        <w:t>Jičín,</w:t>
      </w:r>
      <w:r>
        <w:rPr>
          <w:spacing w:val="28"/>
        </w:rPr>
        <w:t> </w:t>
      </w:r>
      <w:r>
        <w:rPr/>
        <w:t>zastoupené</w:t>
      </w:r>
      <w:r>
        <w:rPr>
          <w:spacing w:val="26"/>
        </w:rPr>
        <w:t> </w:t>
      </w:r>
      <w:r>
        <w:rPr/>
        <w:t>Městským</w:t>
      </w:r>
      <w:r>
        <w:rPr>
          <w:spacing w:val="27"/>
        </w:rPr>
        <w:t> </w:t>
      </w:r>
      <w:r>
        <w:rPr/>
        <w:t>úřadem</w:t>
      </w:r>
      <w:r>
        <w:rPr>
          <w:spacing w:val="27"/>
        </w:rPr>
        <w:t> </w:t>
      </w:r>
      <w:r>
        <w:rPr/>
        <w:t>Nový</w:t>
      </w:r>
      <w:r>
        <w:rPr>
          <w:spacing w:val="28"/>
        </w:rPr>
        <w:t> </w:t>
      </w:r>
      <w:r>
        <w:rPr/>
        <w:t>Jičín,</w:t>
      </w:r>
      <w:r>
        <w:rPr>
          <w:spacing w:val="24"/>
        </w:rPr>
        <w:t> </w:t>
      </w:r>
      <w:r>
        <w:rPr/>
        <w:t>odborem</w:t>
      </w:r>
      <w:r>
        <w:rPr>
          <w:spacing w:val="26"/>
        </w:rPr>
        <w:t> </w:t>
      </w:r>
      <w:r>
        <w:rPr/>
        <w:t>správy</w:t>
      </w:r>
      <w:r>
        <w:rPr>
          <w:spacing w:val="27"/>
        </w:rPr>
        <w:t> </w:t>
      </w:r>
      <w:r>
        <w:rPr/>
        <w:t>majetku,</w:t>
      </w:r>
      <w:r>
        <w:rPr>
          <w:spacing w:val="28"/>
        </w:rPr>
        <w:t> </w:t>
      </w:r>
      <w:r>
        <w:rPr/>
        <w:t>souhlasí</w:t>
      </w:r>
      <w:r>
        <w:rPr>
          <w:spacing w:val="26"/>
        </w:rPr>
        <w:t> </w:t>
      </w:r>
      <w:r>
        <w:rPr/>
        <w:t>s</w:t>
      </w:r>
      <w:r>
        <w:rPr>
          <w:spacing w:val="5"/>
        </w:rPr>
        <w:t> </w:t>
      </w:r>
      <w:r>
        <w:rPr>
          <w:spacing w:val="-2"/>
        </w:rPr>
        <w:t>realizací</w:t>
      </w:r>
    </w:p>
    <w:p>
      <w:pPr>
        <w:spacing w:before="1"/>
        <w:ind w:left="393" w:right="0" w:firstLine="0"/>
        <w:jc w:val="both"/>
        <w:rPr>
          <w:sz w:val="22"/>
        </w:rPr>
      </w:pPr>
      <w:r>
        <w:rPr>
          <w:sz w:val="22"/>
        </w:rPr>
        <w:t>stavby</w:t>
      </w:r>
      <w:r>
        <w:rPr>
          <w:spacing w:val="27"/>
          <w:sz w:val="22"/>
        </w:rPr>
        <w:t> </w:t>
      </w:r>
      <w:r>
        <w:rPr>
          <w:b/>
          <w:sz w:val="22"/>
        </w:rPr>
        <w:t>„STAVEBNÍ</w:t>
      </w:r>
      <w:r>
        <w:rPr>
          <w:b/>
          <w:spacing w:val="32"/>
          <w:sz w:val="22"/>
        </w:rPr>
        <w:t> </w:t>
      </w:r>
      <w:r>
        <w:rPr>
          <w:b/>
          <w:sz w:val="22"/>
        </w:rPr>
        <w:t>ÚPRAVY</w:t>
      </w:r>
      <w:r>
        <w:rPr>
          <w:b/>
          <w:spacing w:val="31"/>
          <w:sz w:val="22"/>
        </w:rPr>
        <w:t> </w:t>
      </w:r>
      <w:r>
        <w:rPr>
          <w:b/>
          <w:sz w:val="22"/>
        </w:rPr>
        <w:t>VEŘEJNÝCH</w:t>
      </w:r>
      <w:r>
        <w:rPr>
          <w:b/>
          <w:spacing w:val="29"/>
          <w:sz w:val="22"/>
        </w:rPr>
        <w:t> </w:t>
      </w:r>
      <w:r>
        <w:rPr>
          <w:b/>
          <w:sz w:val="22"/>
        </w:rPr>
        <w:t>TOALET</w:t>
      </w:r>
      <w:r>
        <w:rPr>
          <w:b/>
          <w:spacing w:val="28"/>
          <w:sz w:val="22"/>
        </w:rPr>
        <w:t> </w:t>
      </w:r>
      <w:r>
        <w:rPr>
          <w:b/>
          <w:sz w:val="22"/>
        </w:rPr>
        <w:t>SKALKY</w:t>
      </w:r>
      <w:r>
        <w:rPr>
          <w:b/>
          <w:spacing w:val="28"/>
          <w:sz w:val="22"/>
        </w:rPr>
        <w:t> </w:t>
      </w:r>
      <w:r>
        <w:rPr>
          <w:b/>
          <w:sz w:val="22"/>
        </w:rPr>
        <w:t>2280/99,</w:t>
      </w:r>
      <w:r>
        <w:rPr>
          <w:b/>
          <w:spacing w:val="29"/>
          <w:sz w:val="22"/>
        </w:rPr>
        <w:t> </w:t>
      </w:r>
      <w:r>
        <w:rPr>
          <w:b/>
          <w:sz w:val="22"/>
        </w:rPr>
        <w:t>741</w:t>
      </w:r>
      <w:r>
        <w:rPr>
          <w:b/>
          <w:spacing w:val="29"/>
          <w:sz w:val="22"/>
        </w:rPr>
        <w:t> </w:t>
      </w:r>
      <w:r>
        <w:rPr>
          <w:b/>
          <w:sz w:val="22"/>
        </w:rPr>
        <w:t>01</w:t>
      </w:r>
      <w:r>
        <w:rPr>
          <w:b/>
          <w:spacing w:val="29"/>
          <w:sz w:val="22"/>
        </w:rPr>
        <w:t> </w:t>
      </w:r>
      <w:r>
        <w:rPr>
          <w:b/>
          <w:sz w:val="22"/>
        </w:rPr>
        <w:t>NOVÝ</w:t>
      </w:r>
      <w:r>
        <w:rPr>
          <w:b/>
          <w:spacing w:val="32"/>
          <w:sz w:val="22"/>
        </w:rPr>
        <w:t> </w:t>
      </w:r>
      <w:r>
        <w:rPr>
          <w:b/>
          <w:sz w:val="22"/>
        </w:rPr>
        <w:t>JIČÍN“</w:t>
      </w:r>
      <w:r>
        <w:rPr>
          <w:b/>
          <w:spacing w:val="38"/>
          <w:sz w:val="22"/>
        </w:rPr>
        <w:t> </w:t>
      </w:r>
      <w:r>
        <w:rPr>
          <w:sz w:val="22"/>
        </w:rPr>
        <w:t>dle</w:t>
      </w:r>
      <w:r>
        <w:rPr>
          <w:spacing w:val="29"/>
          <w:sz w:val="22"/>
        </w:rPr>
        <w:t> </w:t>
      </w:r>
      <w:r>
        <w:rPr>
          <w:spacing w:val="-2"/>
          <w:sz w:val="22"/>
        </w:rPr>
        <w:t>dokumentace</w:t>
      </w:r>
    </w:p>
    <w:p>
      <w:pPr>
        <w:pStyle w:val="BodyText"/>
        <w:ind w:left="393" w:right="246"/>
        <w:jc w:val="both"/>
      </w:pPr>
      <w:r>
        <w:rPr/>
        <w:t>předložené na odbor správy majetku dne 22.04.2024 pod č.j. MUNJ-63035/2024/OSM-Hrn-2213 za těchto </w:t>
      </w:r>
      <w:r>
        <w:rPr>
          <w:spacing w:val="-2"/>
        </w:rPr>
        <w:t>podmínek:</w:t>
      </w:r>
    </w:p>
    <w:p>
      <w:pPr>
        <w:pStyle w:val="ListParagraph"/>
        <w:numPr>
          <w:ilvl w:val="0"/>
          <w:numId w:val="1"/>
        </w:numPr>
        <w:tabs>
          <w:tab w:pos="674" w:val="left" w:leader="none"/>
          <w:tab w:pos="676" w:val="left" w:leader="none"/>
        </w:tabs>
        <w:spacing w:line="240" w:lineRule="auto" w:before="0" w:after="0"/>
        <w:ind w:left="676" w:right="245" w:hanging="567"/>
        <w:jc w:val="both"/>
        <w:rPr>
          <w:sz w:val="22"/>
        </w:rPr>
      </w:pPr>
      <w:r>
        <w:rPr>
          <w:sz w:val="22"/>
        </w:rPr>
        <w:t>Součástí tohoto vyjádření je příloha č. 1 „Zásady pro provádění výkopových prací a umísťování stavebních zařízení a skládek v</w:t>
      </w:r>
      <w:r>
        <w:rPr>
          <w:spacing w:val="-1"/>
          <w:sz w:val="22"/>
        </w:rPr>
        <w:t> </w:t>
      </w:r>
      <w:r>
        <w:rPr>
          <w:sz w:val="22"/>
        </w:rPr>
        <w:t>místních a účelových komunikacích v</w:t>
      </w:r>
      <w:r>
        <w:rPr>
          <w:spacing w:val="-1"/>
          <w:sz w:val="22"/>
        </w:rPr>
        <w:t> </w:t>
      </w:r>
      <w:r>
        <w:rPr>
          <w:sz w:val="22"/>
        </w:rPr>
        <w:t>majetku Města Nový Jičín“. Tyto zásady jsou pro stavebníka závazné. V</w:t>
      </w:r>
      <w:r>
        <w:rPr>
          <w:spacing w:val="-5"/>
          <w:sz w:val="22"/>
        </w:rPr>
        <w:t> </w:t>
      </w:r>
      <w:r>
        <w:rPr>
          <w:sz w:val="22"/>
        </w:rPr>
        <w:t>případě nesplnění těchto podmínek nebude ze strany</w:t>
      </w:r>
      <w:r>
        <w:rPr>
          <w:spacing w:val="-2"/>
          <w:sz w:val="22"/>
        </w:rPr>
        <w:t> </w:t>
      </w:r>
      <w:r>
        <w:rPr>
          <w:sz w:val="22"/>
        </w:rPr>
        <w:t>města dán</w:t>
      </w:r>
      <w:r>
        <w:rPr>
          <w:spacing w:val="-1"/>
          <w:sz w:val="22"/>
        </w:rPr>
        <w:t> </w:t>
      </w:r>
      <w:r>
        <w:rPr>
          <w:sz w:val="22"/>
        </w:rPr>
        <w:t>souhlas s</w:t>
      </w:r>
      <w:r>
        <w:rPr>
          <w:spacing w:val="-2"/>
          <w:sz w:val="22"/>
        </w:rPr>
        <w:t> </w:t>
      </w:r>
      <w:r>
        <w:rPr>
          <w:sz w:val="22"/>
        </w:rPr>
        <w:t>užíváním </w:t>
      </w:r>
      <w:r>
        <w:rPr>
          <w:spacing w:val="-2"/>
          <w:sz w:val="22"/>
        </w:rPr>
        <w:t>stavy.</w:t>
      </w:r>
    </w:p>
    <w:p>
      <w:pPr>
        <w:pStyle w:val="ListParagraph"/>
        <w:numPr>
          <w:ilvl w:val="0"/>
          <w:numId w:val="1"/>
        </w:numPr>
        <w:tabs>
          <w:tab w:pos="674" w:val="left" w:leader="none"/>
        </w:tabs>
        <w:spacing w:line="267" w:lineRule="exact" w:before="2" w:after="0"/>
        <w:ind w:left="674" w:right="0" w:hanging="565"/>
        <w:jc w:val="both"/>
        <w:rPr>
          <w:sz w:val="22"/>
        </w:rPr>
      </w:pPr>
      <w:r>
        <w:rPr>
          <w:sz w:val="22"/>
        </w:rPr>
        <w:t>Stavebník</w:t>
      </w:r>
      <w:r>
        <w:rPr>
          <w:spacing w:val="26"/>
          <w:sz w:val="22"/>
        </w:rPr>
        <w:t> </w:t>
      </w:r>
      <w:r>
        <w:rPr>
          <w:sz w:val="22"/>
        </w:rPr>
        <w:t>musí</w:t>
      </w:r>
      <w:r>
        <w:rPr>
          <w:spacing w:val="29"/>
          <w:sz w:val="22"/>
        </w:rPr>
        <w:t> </w:t>
      </w:r>
      <w:r>
        <w:rPr>
          <w:sz w:val="22"/>
        </w:rPr>
        <w:t>splnit</w:t>
      </w:r>
      <w:r>
        <w:rPr>
          <w:spacing w:val="30"/>
          <w:sz w:val="22"/>
        </w:rPr>
        <w:t> </w:t>
      </w:r>
      <w:r>
        <w:rPr>
          <w:sz w:val="22"/>
        </w:rPr>
        <w:t>podmínky</w:t>
      </w:r>
      <w:r>
        <w:rPr>
          <w:spacing w:val="31"/>
          <w:sz w:val="22"/>
        </w:rPr>
        <w:t> </w:t>
      </w:r>
      <w:r>
        <w:rPr>
          <w:sz w:val="22"/>
        </w:rPr>
        <w:t>uvedené</w:t>
      </w:r>
      <w:r>
        <w:rPr>
          <w:spacing w:val="31"/>
          <w:sz w:val="22"/>
        </w:rPr>
        <w:t> </w:t>
      </w:r>
      <w:r>
        <w:rPr>
          <w:sz w:val="22"/>
        </w:rPr>
        <w:t>ve</w:t>
      </w:r>
      <w:r>
        <w:rPr>
          <w:spacing w:val="1"/>
          <w:sz w:val="22"/>
        </w:rPr>
        <w:t> </w:t>
      </w:r>
      <w:r>
        <w:rPr>
          <w:sz w:val="22"/>
        </w:rPr>
        <w:t>stanovisku</w:t>
      </w:r>
      <w:r>
        <w:rPr>
          <w:spacing w:val="30"/>
          <w:sz w:val="22"/>
        </w:rPr>
        <w:t> </w:t>
      </w:r>
      <w:r>
        <w:rPr>
          <w:sz w:val="22"/>
        </w:rPr>
        <w:t>MěÚ</w:t>
      </w:r>
      <w:r>
        <w:rPr>
          <w:spacing w:val="31"/>
          <w:sz w:val="22"/>
        </w:rPr>
        <w:t> </w:t>
      </w:r>
      <w:r>
        <w:rPr>
          <w:sz w:val="22"/>
        </w:rPr>
        <w:t>Nový</w:t>
      </w:r>
      <w:r>
        <w:rPr>
          <w:spacing w:val="31"/>
          <w:sz w:val="22"/>
        </w:rPr>
        <w:t> </w:t>
      </w:r>
      <w:r>
        <w:rPr>
          <w:sz w:val="22"/>
        </w:rPr>
        <w:t>Jičín,</w:t>
      </w:r>
      <w:r>
        <w:rPr>
          <w:spacing w:val="28"/>
          <w:sz w:val="22"/>
        </w:rPr>
        <w:t> </w:t>
      </w:r>
      <w:r>
        <w:rPr>
          <w:sz w:val="22"/>
        </w:rPr>
        <w:t>odboru</w:t>
      </w:r>
      <w:r>
        <w:rPr>
          <w:spacing w:val="29"/>
          <w:sz w:val="22"/>
        </w:rPr>
        <w:t> </w:t>
      </w:r>
      <w:r>
        <w:rPr>
          <w:sz w:val="22"/>
        </w:rPr>
        <w:t>životního</w:t>
      </w:r>
      <w:r>
        <w:rPr>
          <w:spacing w:val="31"/>
          <w:sz w:val="22"/>
        </w:rPr>
        <w:t> </w:t>
      </w:r>
      <w:r>
        <w:rPr>
          <w:sz w:val="22"/>
        </w:rPr>
        <w:t>prostředí,</w:t>
      </w:r>
      <w:r>
        <w:rPr>
          <w:spacing w:val="30"/>
          <w:sz w:val="22"/>
        </w:rPr>
        <w:t> </w:t>
      </w:r>
      <w:r>
        <w:rPr>
          <w:spacing w:val="-4"/>
          <w:sz w:val="22"/>
        </w:rPr>
        <w:t>č.j.</w:t>
      </w:r>
    </w:p>
    <w:p>
      <w:pPr>
        <w:pStyle w:val="BodyText"/>
        <w:spacing w:line="267" w:lineRule="exact"/>
        <w:ind w:left="676"/>
        <w:jc w:val="both"/>
      </w:pPr>
      <w:r>
        <w:rPr/>
        <w:t>MUNJ-64251/2024/OŽP-Bok,</w:t>
      </w:r>
      <w:r>
        <w:rPr>
          <w:spacing w:val="-7"/>
        </w:rPr>
        <w:t> </w:t>
      </w:r>
      <w:r>
        <w:rPr/>
        <w:t>ze</w:t>
      </w:r>
      <w:r>
        <w:rPr>
          <w:spacing w:val="-5"/>
        </w:rPr>
        <w:t> </w:t>
      </w:r>
      <w:r>
        <w:rPr/>
        <w:t>dne</w:t>
      </w:r>
      <w:r>
        <w:rPr>
          <w:spacing w:val="-7"/>
        </w:rPr>
        <w:t> </w:t>
      </w:r>
      <w:r>
        <w:rPr/>
        <w:t>24.04.2024,</w:t>
      </w:r>
      <w:r>
        <w:rPr>
          <w:spacing w:val="-5"/>
        </w:rPr>
        <w:t> </w:t>
      </w:r>
      <w:r>
        <w:rPr/>
        <w:t>které</w:t>
      </w:r>
      <w:r>
        <w:rPr>
          <w:spacing w:val="-6"/>
        </w:rPr>
        <w:t> </w:t>
      </w:r>
      <w:r>
        <w:rPr/>
        <w:t>je</w:t>
      </w:r>
      <w:r>
        <w:rPr>
          <w:spacing w:val="-5"/>
        </w:rPr>
        <w:t> </w:t>
      </w:r>
      <w:r>
        <w:rPr/>
        <w:t>součástí</w:t>
      </w:r>
      <w:r>
        <w:rPr>
          <w:spacing w:val="-7"/>
        </w:rPr>
        <w:t> </w:t>
      </w:r>
      <w:r>
        <w:rPr/>
        <w:t>tohoto</w:t>
      </w:r>
      <w:r>
        <w:rPr>
          <w:spacing w:val="-5"/>
        </w:rPr>
        <w:t> </w:t>
      </w:r>
      <w:r>
        <w:rPr>
          <w:spacing w:val="-2"/>
        </w:rPr>
        <w:t>vyjádření.</w:t>
      </w:r>
    </w:p>
    <w:p>
      <w:pPr>
        <w:pStyle w:val="ListParagraph"/>
        <w:numPr>
          <w:ilvl w:val="0"/>
          <w:numId w:val="1"/>
        </w:numPr>
        <w:tabs>
          <w:tab w:pos="674" w:val="left" w:leader="none"/>
          <w:tab w:pos="676" w:val="left" w:leader="none"/>
        </w:tabs>
        <w:spacing w:line="240" w:lineRule="auto" w:before="0" w:after="0"/>
        <w:ind w:left="676" w:right="247" w:hanging="567"/>
        <w:jc w:val="both"/>
        <w:rPr>
          <w:sz w:val="22"/>
        </w:rPr>
      </w:pPr>
      <w:r>
        <w:rPr>
          <w:sz w:val="22"/>
        </w:rPr>
        <w:t>Dojde-li k užívání místní komunikace včetně chodníku (zábor, výkopové práce) v majetku Města Nový</w:t>
      </w:r>
      <w:r>
        <w:rPr>
          <w:spacing w:val="80"/>
          <w:sz w:val="22"/>
        </w:rPr>
        <w:t> </w:t>
      </w:r>
      <w:r>
        <w:rPr>
          <w:sz w:val="22"/>
        </w:rPr>
        <w:t>Jičín, stavebník (investor) musí min. 30 dní před užíváním požádat odbor dopravy MěÚ Nový Jičín o povolení zvláštního užívání komunikace dle § 25, zák.č. 13/1997 Sb. o pozemních komunikací, a to na základě souhlasu – vyjádření vlastníka pozemní komunikace, který vydá město Nový Jičín, odbor správy majetku a vyjádření PČR – Dopravního inspektorátu, může-li zvláštní užívání ovlivnit bezpečnost a plynulost silničního provozu.</w:t>
      </w:r>
    </w:p>
    <w:p>
      <w:pPr>
        <w:pStyle w:val="ListParagraph"/>
        <w:numPr>
          <w:ilvl w:val="0"/>
          <w:numId w:val="1"/>
        </w:numPr>
        <w:tabs>
          <w:tab w:pos="674" w:val="left" w:leader="none"/>
        </w:tabs>
        <w:spacing w:line="240" w:lineRule="auto" w:before="2" w:after="0"/>
        <w:ind w:left="674" w:right="0" w:hanging="565"/>
        <w:jc w:val="both"/>
        <w:rPr>
          <w:sz w:val="22"/>
        </w:rPr>
      </w:pPr>
      <w:r>
        <w:rPr>
          <w:sz w:val="22"/>
        </w:rPr>
        <w:t>Město</w:t>
      </w:r>
      <w:r>
        <w:rPr>
          <w:spacing w:val="-5"/>
          <w:sz w:val="22"/>
        </w:rPr>
        <w:t> </w:t>
      </w:r>
      <w:r>
        <w:rPr>
          <w:sz w:val="22"/>
        </w:rPr>
        <w:t>Nový</w:t>
      </w:r>
      <w:r>
        <w:rPr>
          <w:spacing w:val="-3"/>
          <w:sz w:val="22"/>
        </w:rPr>
        <w:t> </w:t>
      </w:r>
      <w:r>
        <w:rPr>
          <w:sz w:val="22"/>
        </w:rPr>
        <w:t>Jičín</w:t>
      </w:r>
      <w:r>
        <w:rPr>
          <w:spacing w:val="-4"/>
          <w:sz w:val="22"/>
        </w:rPr>
        <w:t> </w:t>
      </w:r>
      <w:r>
        <w:rPr>
          <w:sz w:val="22"/>
        </w:rPr>
        <w:t>nepovoluje</w:t>
      </w:r>
      <w:r>
        <w:rPr>
          <w:spacing w:val="-3"/>
          <w:sz w:val="22"/>
        </w:rPr>
        <w:t> </w:t>
      </w:r>
      <w:r>
        <w:rPr>
          <w:sz w:val="22"/>
        </w:rPr>
        <w:t>provádění</w:t>
      </w:r>
      <w:r>
        <w:rPr>
          <w:spacing w:val="-6"/>
          <w:sz w:val="22"/>
        </w:rPr>
        <w:t> </w:t>
      </w:r>
      <w:r>
        <w:rPr>
          <w:sz w:val="22"/>
        </w:rPr>
        <w:t>výkopů</w:t>
      </w:r>
      <w:r>
        <w:rPr>
          <w:spacing w:val="-4"/>
          <w:sz w:val="22"/>
        </w:rPr>
        <w:t> </w:t>
      </w:r>
      <w:r>
        <w:rPr>
          <w:sz w:val="22"/>
        </w:rPr>
        <w:t>a</w:t>
      </w:r>
      <w:r>
        <w:rPr>
          <w:spacing w:val="-5"/>
          <w:sz w:val="22"/>
        </w:rPr>
        <w:t> </w:t>
      </w:r>
      <w:r>
        <w:rPr>
          <w:sz w:val="22"/>
        </w:rPr>
        <w:t>záborů</w:t>
      </w:r>
      <w:r>
        <w:rPr>
          <w:spacing w:val="-4"/>
          <w:sz w:val="22"/>
        </w:rPr>
        <w:t> </w:t>
      </w:r>
      <w:r>
        <w:rPr>
          <w:sz w:val="22"/>
        </w:rPr>
        <w:t>v</w:t>
      </w:r>
      <w:r>
        <w:rPr>
          <w:spacing w:val="2"/>
          <w:sz w:val="22"/>
        </w:rPr>
        <w:t> </w:t>
      </w:r>
      <w:r>
        <w:rPr>
          <w:sz w:val="22"/>
        </w:rPr>
        <w:t>zimním</w:t>
      </w:r>
      <w:r>
        <w:rPr>
          <w:spacing w:val="-5"/>
          <w:sz w:val="22"/>
        </w:rPr>
        <w:t> </w:t>
      </w:r>
      <w:r>
        <w:rPr>
          <w:sz w:val="22"/>
        </w:rPr>
        <w:t>období,</w:t>
      </w:r>
      <w:r>
        <w:rPr>
          <w:spacing w:val="-6"/>
          <w:sz w:val="22"/>
        </w:rPr>
        <w:t> </w:t>
      </w:r>
      <w:r>
        <w:rPr>
          <w:sz w:val="22"/>
        </w:rPr>
        <w:t>tj.</w:t>
      </w:r>
      <w:r>
        <w:rPr>
          <w:spacing w:val="-6"/>
          <w:sz w:val="22"/>
        </w:rPr>
        <w:t> </w:t>
      </w:r>
      <w:r>
        <w:rPr>
          <w:sz w:val="22"/>
        </w:rPr>
        <w:t>od</w:t>
      </w:r>
      <w:r>
        <w:rPr>
          <w:spacing w:val="-4"/>
          <w:sz w:val="22"/>
        </w:rPr>
        <w:t> </w:t>
      </w:r>
      <w:r>
        <w:rPr>
          <w:sz w:val="22"/>
        </w:rPr>
        <w:t>16.11.</w:t>
      </w:r>
      <w:r>
        <w:rPr>
          <w:spacing w:val="-6"/>
          <w:sz w:val="22"/>
        </w:rPr>
        <w:t> </w:t>
      </w:r>
      <w:r>
        <w:rPr>
          <w:sz w:val="22"/>
        </w:rPr>
        <w:t>do</w:t>
      </w:r>
      <w:r>
        <w:rPr>
          <w:spacing w:val="-4"/>
          <w:sz w:val="22"/>
        </w:rPr>
        <w:t> </w:t>
      </w:r>
      <w:r>
        <w:rPr>
          <w:spacing w:val="-2"/>
          <w:sz w:val="22"/>
        </w:rPr>
        <w:t>31.3.</w:t>
      </w:r>
    </w:p>
    <w:p>
      <w:pPr>
        <w:pStyle w:val="ListParagraph"/>
        <w:numPr>
          <w:ilvl w:val="0"/>
          <w:numId w:val="1"/>
        </w:numPr>
        <w:tabs>
          <w:tab w:pos="674" w:val="left" w:leader="none"/>
          <w:tab w:pos="676" w:val="left" w:leader="none"/>
        </w:tabs>
        <w:spacing w:line="240" w:lineRule="auto" w:before="0" w:after="0"/>
        <w:ind w:left="676" w:right="247" w:hanging="567"/>
        <w:jc w:val="both"/>
        <w:rPr>
          <w:sz w:val="22"/>
        </w:rPr>
      </w:pPr>
      <w:r>
        <w:rPr>
          <w:sz w:val="22"/>
        </w:rPr>
        <w:t>Užívání</w:t>
      </w:r>
      <w:r>
        <w:rPr>
          <w:spacing w:val="-3"/>
          <w:sz w:val="22"/>
        </w:rPr>
        <w:t> </w:t>
      </w:r>
      <w:r>
        <w:rPr>
          <w:sz w:val="22"/>
        </w:rPr>
        <w:t>veřejného</w:t>
      </w:r>
      <w:r>
        <w:rPr>
          <w:spacing w:val="-2"/>
          <w:sz w:val="22"/>
        </w:rPr>
        <w:t> </w:t>
      </w:r>
      <w:r>
        <w:rPr>
          <w:sz w:val="22"/>
        </w:rPr>
        <w:t>prostranství</w:t>
      </w:r>
      <w:r>
        <w:rPr>
          <w:spacing w:val="-3"/>
          <w:sz w:val="22"/>
        </w:rPr>
        <w:t> </w:t>
      </w:r>
      <w:r>
        <w:rPr>
          <w:sz w:val="22"/>
        </w:rPr>
        <w:t>(komunikace,</w:t>
      </w:r>
      <w:r>
        <w:rPr>
          <w:spacing w:val="-3"/>
          <w:sz w:val="22"/>
        </w:rPr>
        <w:t> </w:t>
      </w:r>
      <w:r>
        <w:rPr>
          <w:sz w:val="22"/>
        </w:rPr>
        <w:t>chodníkového</w:t>
      </w:r>
      <w:r>
        <w:rPr>
          <w:spacing w:val="-2"/>
          <w:sz w:val="22"/>
        </w:rPr>
        <w:t> </w:t>
      </w:r>
      <w:r>
        <w:rPr>
          <w:sz w:val="22"/>
        </w:rPr>
        <w:t>tělesa,</w:t>
      </w:r>
      <w:r>
        <w:rPr>
          <w:spacing w:val="-3"/>
          <w:sz w:val="22"/>
        </w:rPr>
        <w:t> </w:t>
      </w:r>
      <w:r>
        <w:rPr>
          <w:sz w:val="22"/>
        </w:rPr>
        <w:t>veřejné</w:t>
      </w:r>
      <w:r>
        <w:rPr>
          <w:spacing w:val="-3"/>
          <w:sz w:val="22"/>
        </w:rPr>
        <w:t> </w:t>
      </w:r>
      <w:r>
        <w:rPr>
          <w:sz w:val="22"/>
        </w:rPr>
        <w:t>zeleně,</w:t>
      </w:r>
      <w:r>
        <w:rPr>
          <w:spacing w:val="-1"/>
          <w:sz w:val="22"/>
        </w:rPr>
        <w:t> </w:t>
      </w:r>
      <w:r>
        <w:rPr>
          <w:sz w:val="22"/>
        </w:rPr>
        <w:t>atd.)</w:t>
      </w:r>
      <w:r>
        <w:rPr>
          <w:spacing w:val="-3"/>
          <w:sz w:val="22"/>
        </w:rPr>
        <w:t> </w:t>
      </w:r>
      <w:r>
        <w:rPr>
          <w:sz w:val="22"/>
        </w:rPr>
        <w:t>bude zpoplatněno dle Obecně závazné vyhlášky Města Nový Jičín č. 1/2013 o místních poplatcích. Užívání komunikací a chodníku bude ohlášeno nejpozději 15 dní před začátkem užívání. Poplatek je splatný v den zahájení, nejpozději do 15-ti dnů ode dne ukončení užívání veřejného prostranství.</w:t>
      </w:r>
    </w:p>
    <w:p>
      <w:pPr>
        <w:pStyle w:val="ListParagraph"/>
        <w:numPr>
          <w:ilvl w:val="0"/>
          <w:numId w:val="1"/>
        </w:numPr>
        <w:tabs>
          <w:tab w:pos="674" w:val="left" w:leader="none"/>
          <w:tab w:pos="676" w:val="left" w:leader="none"/>
        </w:tabs>
        <w:spacing w:line="240" w:lineRule="auto" w:before="0" w:after="0"/>
        <w:ind w:left="676" w:right="248" w:hanging="567"/>
        <w:jc w:val="both"/>
        <w:rPr>
          <w:sz w:val="22"/>
        </w:rPr>
      </w:pPr>
      <w:r>
        <w:rPr>
          <w:sz w:val="22"/>
        </w:rPr>
        <w:t>Při zásahu do pozemků v majetku Města Nový Jičín (budování sjezdu, ukládání inženýrských sítí, zateplování budov, atd.) budou před realizací stavby vyřešeny majetkoprávní vztahy na úseku majetku odboru správy majetku MěÚ Nový Jičín. Bez vyřešení těchto vztahů (uzavření smlouvy o budoucím</w:t>
      </w:r>
      <w:r>
        <w:rPr>
          <w:spacing w:val="40"/>
          <w:sz w:val="22"/>
        </w:rPr>
        <w:t> </w:t>
      </w:r>
      <w:r>
        <w:rPr>
          <w:sz w:val="22"/>
        </w:rPr>
        <w:t>věcném</w:t>
      </w:r>
      <w:r>
        <w:rPr>
          <w:spacing w:val="35"/>
          <w:sz w:val="22"/>
        </w:rPr>
        <w:t> </w:t>
      </w:r>
      <w:r>
        <w:rPr>
          <w:sz w:val="22"/>
        </w:rPr>
        <w:t>břemeni,</w:t>
      </w:r>
      <w:r>
        <w:rPr>
          <w:spacing w:val="37"/>
          <w:sz w:val="22"/>
        </w:rPr>
        <w:t> </w:t>
      </w:r>
      <w:r>
        <w:rPr>
          <w:sz w:val="22"/>
        </w:rPr>
        <w:t>jiný</w:t>
      </w:r>
      <w:r>
        <w:rPr>
          <w:spacing w:val="35"/>
          <w:sz w:val="22"/>
        </w:rPr>
        <w:t> </w:t>
      </w:r>
      <w:r>
        <w:rPr>
          <w:sz w:val="22"/>
        </w:rPr>
        <w:t>vztah)</w:t>
      </w:r>
      <w:r>
        <w:rPr>
          <w:spacing w:val="37"/>
          <w:sz w:val="22"/>
        </w:rPr>
        <w:t> </w:t>
      </w:r>
      <w:r>
        <w:rPr>
          <w:sz w:val="22"/>
        </w:rPr>
        <w:t>nebude</w:t>
      </w:r>
      <w:r>
        <w:rPr>
          <w:spacing w:val="37"/>
          <w:sz w:val="22"/>
        </w:rPr>
        <w:t> </w:t>
      </w:r>
      <w:r>
        <w:rPr>
          <w:sz w:val="22"/>
        </w:rPr>
        <w:t>ze</w:t>
      </w:r>
      <w:r>
        <w:rPr>
          <w:spacing w:val="35"/>
          <w:sz w:val="22"/>
        </w:rPr>
        <w:t> </w:t>
      </w:r>
      <w:r>
        <w:rPr>
          <w:sz w:val="22"/>
        </w:rPr>
        <w:t>strany</w:t>
      </w:r>
      <w:r>
        <w:rPr>
          <w:spacing w:val="32"/>
          <w:sz w:val="22"/>
        </w:rPr>
        <w:t> </w:t>
      </w:r>
      <w:r>
        <w:rPr>
          <w:sz w:val="22"/>
        </w:rPr>
        <w:t>odboru</w:t>
      </w:r>
      <w:r>
        <w:rPr>
          <w:spacing w:val="36"/>
          <w:sz w:val="22"/>
        </w:rPr>
        <w:t> </w:t>
      </w:r>
      <w:r>
        <w:rPr>
          <w:sz w:val="22"/>
        </w:rPr>
        <w:t>správy</w:t>
      </w:r>
      <w:r>
        <w:rPr>
          <w:spacing w:val="35"/>
          <w:sz w:val="22"/>
        </w:rPr>
        <w:t> </w:t>
      </w:r>
      <w:r>
        <w:rPr>
          <w:sz w:val="22"/>
        </w:rPr>
        <w:t>majetku</w:t>
      </w:r>
      <w:r>
        <w:rPr>
          <w:spacing w:val="34"/>
          <w:sz w:val="22"/>
        </w:rPr>
        <w:t> </w:t>
      </w:r>
      <w:r>
        <w:rPr>
          <w:sz w:val="22"/>
        </w:rPr>
        <w:t>MěÚ</w:t>
      </w:r>
      <w:r>
        <w:rPr>
          <w:spacing w:val="35"/>
          <w:sz w:val="22"/>
        </w:rPr>
        <w:t> </w:t>
      </w:r>
      <w:r>
        <w:rPr>
          <w:sz w:val="22"/>
        </w:rPr>
        <w:t>Nový</w:t>
      </w:r>
      <w:r>
        <w:rPr>
          <w:spacing w:val="37"/>
          <w:sz w:val="22"/>
        </w:rPr>
        <w:t> </w:t>
      </w:r>
      <w:r>
        <w:rPr>
          <w:sz w:val="22"/>
        </w:rPr>
        <w:t>Jičín</w:t>
      </w:r>
      <w:r>
        <w:rPr>
          <w:spacing w:val="33"/>
          <w:sz w:val="22"/>
        </w:rPr>
        <w:t> </w:t>
      </w:r>
      <w:r>
        <w:rPr>
          <w:sz w:val="22"/>
        </w:rPr>
        <w:t>vydán</w:t>
      </w:r>
      <w:r>
        <w:rPr>
          <w:spacing w:val="33"/>
          <w:sz w:val="22"/>
        </w:rPr>
        <w:t> </w:t>
      </w:r>
      <w:r>
        <w:rPr>
          <w:sz w:val="22"/>
        </w:rPr>
        <w:t>souhlas v řízení</w:t>
      </w:r>
      <w:r>
        <w:rPr>
          <w:spacing w:val="26"/>
          <w:sz w:val="22"/>
        </w:rPr>
        <w:t> </w:t>
      </w:r>
      <w:r>
        <w:rPr>
          <w:sz w:val="22"/>
        </w:rPr>
        <w:t>vedených</w:t>
      </w:r>
      <w:r>
        <w:rPr>
          <w:spacing w:val="25"/>
          <w:sz w:val="22"/>
        </w:rPr>
        <w:t> </w:t>
      </w:r>
      <w:r>
        <w:rPr>
          <w:sz w:val="22"/>
        </w:rPr>
        <w:t>Městským</w:t>
      </w:r>
      <w:r>
        <w:rPr>
          <w:spacing w:val="29"/>
          <w:sz w:val="22"/>
        </w:rPr>
        <w:t> </w:t>
      </w:r>
      <w:r>
        <w:rPr>
          <w:sz w:val="22"/>
        </w:rPr>
        <w:t>úřadem</w:t>
      </w:r>
      <w:r>
        <w:rPr>
          <w:spacing w:val="28"/>
          <w:sz w:val="22"/>
        </w:rPr>
        <w:t> </w:t>
      </w:r>
      <w:r>
        <w:rPr>
          <w:sz w:val="22"/>
        </w:rPr>
        <w:t>Nový</w:t>
      </w:r>
      <w:r>
        <w:rPr>
          <w:spacing w:val="27"/>
          <w:sz w:val="22"/>
        </w:rPr>
        <w:t> </w:t>
      </w:r>
      <w:r>
        <w:rPr>
          <w:sz w:val="22"/>
        </w:rPr>
        <w:t>Jičín</w:t>
      </w:r>
      <w:r>
        <w:rPr>
          <w:spacing w:val="27"/>
          <w:sz w:val="22"/>
        </w:rPr>
        <w:t> </w:t>
      </w:r>
      <w:r>
        <w:rPr>
          <w:sz w:val="22"/>
        </w:rPr>
        <w:t>a</w:t>
      </w:r>
      <w:r>
        <w:rPr>
          <w:spacing w:val="26"/>
          <w:sz w:val="22"/>
        </w:rPr>
        <w:t> </w:t>
      </w:r>
      <w:r>
        <w:rPr>
          <w:sz w:val="22"/>
        </w:rPr>
        <w:t>Krajským</w:t>
      </w:r>
      <w:r>
        <w:rPr>
          <w:spacing w:val="29"/>
          <w:sz w:val="22"/>
        </w:rPr>
        <w:t> </w:t>
      </w:r>
      <w:r>
        <w:rPr>
          <w:sz w:val="22"/>
        </w:rPr>
        <w:t>úřadem</w:t>
      </w:r>
      <w:r>
        <w:rPr>
          <w:spacing w:val="25"/>
          <w:sz w:val="22"/>
        </w:rPr>
        <w:t> </w:t>
      </w:r>
      <w:r>
        <w:rPr>
          <w:sz w:val="22"/>
        </w:rPr>
        <w:t>Moravskoslezského</w:t>
      </w:r>
      <w:r>
        <w:rPr>
          <w:spacing w:val="27"/>
          <w:sz w:val="22"/>
        </w:rPr>
        <w:t> </w:t>
      </w:r>
      <w:r>
        <w:rPr>
          <w:sz w:val="22"/>
        </w:rPr>
        <w:t>kraje,</w:t>
      </w:r>
      <w:r>
        <w:rPr>
          <w:spacing w:val="27"/>
          <w:sz w:val="22"/>
        </w:rPr>
        <w:t> </w:t>
      </w:r>
      <w:r>
        <w:rPr>
          <w:sz w:val="22"/>
        </w:rPr>
        <w:t>případně v jiném řízení orgánu státu.</w:t>
      </w:r>
    </w:p>
    <w:p>
      <w:pPr>
        <w:pStyle w:val="ListParagraph"/>
        <w:numPr>
          <w:ilvl w:val="0"/>
          <w:numId w:val="1"/>
        </w:numPr>
        <w:tabs>
          <w:tab w:pos="751" w:val="left" w:leader="none"/>
          <w:tab w:pos="753" w:val="left" w:leader="none"/>
        </w:tabs>
        <w:spacing w:line="240" w:lineRule="auto" w:before="0" w:after="0"/>
        <w:ind w:left="753" w:right="246" w:hanging="360"/>
        <w:jc w:val="both"/>
        <w:rPr>
          <w:sz w:val="22"/>
        </w:rPr>
      </w:pPr>
      <w:r>
        <w:rPr>
          <w:sz w:val="22"/>
        </w:rPr>
        <w:t>Stavebník požádá město Odbor správy majetku, úsek majetku o uzavření Smlouvy o smlouvě budoucí o zřízení služebnosti inženýrských sítí, součástí žádosti bude kopie tohoto vyjádření. Uzavření smlouvy</w:t>
      </w:r>
      <w:r>
        <w:rPr>
          <w:spacing w:val="80"/>
          <w:sz w:val="22"/>
        </w:rPr>
        <w:t> </w:t>
      </w:r>
      <w:r>
        <w:rPr>
          <w:sz w:val="22"/>
        </w:rPr>
        <w:t>bude následně projednáno Radou</w:t>
      </w:r>
      <w:r>
        <w:rPr>
          <w:spacing w:val="-3"/>
          <w:sz w:val="22"/>
        </w:rPr>
        <w:t> </w:t>
      </w:r>
      <w:r>
        <w:rPr>
          <w:sz w:val="22"/>
        </w:rPr>
        <w:t>města na její schůzi. Nedílnou součástí smlouvy bude situace napojení. Pro tyto účely souhlasíme s předloženým řešení tras. Souhlas vlastníka pozemku pro stavební úřad podle</w:t>
      </w:r>
    </w:p>
    <w:p>
      <w:pPr>
        <w:pStyle w:val="BodyText"/>
        <w:spacing w:line="267" w:lineRule="exact"/>
        <w:ind w:left="753"/>
        <w:jc w:val="both"/>
      </w:pPr>
      <w:r>
        <w:rPr/>
        <w:t>§</w:t>
      </w:r>
      <w:r>
        <w:rPr>
          <w:spacing w:val="43"/>
        </w:rPr>
        <w:t> </w:t>
      </w:r>
      <w:r>
        <w:rPr/>
        <w:t>184a</w:t>
      </w:r>
      <w:r>
        <w:rPr>
          <w:spacing w:val="43"/>
        </w:rPr>
        <w:t> </w:t>
      </w:r>
      <w:r>
        <w:rPr/>
        <w:t>zákona</w:t>
      </w:r>
      <w:r>
        <w:rPr>
          <w:spacing w:val="43"/>
        </w:rPr>
        <w:t> </w:t>
      </w:r>
      <w:r>
        <w:rPr/>
        <w:t>č.</w:t>
      </w:r>
      <w:r>
        <w:rPr>
          <w:spacing w:val="43"/>
        </w:rPr>
        <w:t> </w:t>
      </w:r>
      <w:r>
        <w:rPr/>
        <w:t>183/2006</w:t>
      </w:r>
      <w:r>
        <w:rPr>
          <w:spacing w:val="44"/>
        </w:rPr>
        <w:t> </w:t>
      </w:r>
      <w:r>
        <w:rPr/>
        <w:t>Sb.,</w:t>
      </w:r>
      <w:r>
        <w:rPr>
          <w:spacing w:val="42"/>
        </w:rPr>
        <w:t> </w:t>
      </w:r>
      <w:r>
        <w:rPr/>
        <w:t>o</w:t>
      </w:r>
      <w:r>
        <w:rPr>
          <w:spacing w:val="44"/>
        </w:rPr>
        <w:t> </w:t>
      </w:r>
      <w:r>
        <w:rPr/>
        <w:t>územním</w:t>
      </w:r>
      <w:r>
        <w:rPr>
          <w:spacing w:val="44"/>
        </w:rPr>
        <w:t> </w:t>
      </w:r>
      <w:r>
        <w:rPr/>
        <w:t>plánování</w:t>
      </w:r>
      <w:r>
        <w:rPr>
          <w:spacing w:val="43"/>
        </w:rPr>
        <w:t> </w:t>
      </w:r>
      <w:r>
        <w:rPr/>
        <w:t>a</w:t>
      </w:r>
      <w:r>
        <w:rPr>
          <w:spacing w:val="43"/>
        </w:rPr>
        <w:t> </w:t>
      </w:r>
      <w:r>
        <w:rPr/>
        <w:t>stavebním</w:t>
      </w:r>
      <w:r>
        <w:rPr>
          <w:spacing w:val="43"/>
        </w:rPr>
        <w:t> </w:t>
      </w:r>
      <w:r>
        <w:rPr/>
        <w:t>řádu</w:t>
      </w:r>
      <w:r>
        <w:rPr>
          <w:spacing w:val="43"/>
        </w:rPr>
        <w:t> </w:t>
      </w:r>
      <w:r>
        <w:rPr/>
        <w:t>(stavební</w:t>
      </w:r>
      <w:r>
        <w:rPr>
          <w:spacing w:val="43"/>
        </w:rPr>
        <w:t> </w:t>
      </w:r>
      <w:r>
        <w:rPr/>
        <w:t>zákon),</w:t>
      </w:r>
      <w:r>
        <w:rPr>
          <w:spacing w:val="44"/>
        </w:rPr>
        <w:t> </w:t>
      </w:r>
      <w:r>
        <w:rPr/>
        <w:t>ve</w:t>
      </w:r>
      <w:r>
        <w:rPr>
          <w:spacing w:val="44"/>
        </w:rPr>
        <w:t> </w:t>
      </w:r>
      <w:r>
        <w:rPr>
          <w:spacing w:val="-2"/>
        </w:rPr>
        <w:t>znění</w:t>
      </w:r>
    </w:p>
    <w:p>
      <w:pPr>
        <w:pStyle w:val="BodyText"/>
        <w:spacing w:before="5"/>
        <w:rPr>
          <w:sz w:val="11"/>
        </w:rPr>
      </w:pPr>
    </w:p>
    <w:p>
      <w:pPr>
        <w:spacing w:after="0"/>
        <w:rPr>
          <w:sz w:val="11"/>
        </w:rPr>
        <w:sectPr>
          <w:type w:val="continuous"/>
          <w:pgSz w:w="11910" w:h="16840"/>
          <w:pgMar w:top="740" w:bottom="280" w:left="740" w:right="740"/>
        </w:sectPr>
      </w:pPr>
    </w:p>
    <w:p>
      <w:pPr>
        <w:spacing w:line="207" w:lineRule="exact" w:before="94"/>
        <w:ind w:left="393" w:right="0" w:firstLine="0"/>
        <w:jc w:val="left"/>
        <w:rPr>
          <w:rFonts w:ascii="Arial"/>
          <w:b/>
          <w:sz w:val="18"/>
        </w:rPr>
      </w:pPr>
      <w:r>
        <w:rPr>
          <w:rFonts w:ascii="Arial"/>
          <w:b/>
          <w:spacing w:val="-2"/>
          <w:sz w:val="18"/>
        </w:rPr>
        <w:t>ADRESA</w:t>
      </w:r>
    </w:p>
    <w:p>
      <w:pPr>
        <w:spacing w:before="0"/>
        <w:ind w:left="393" w:right="0" w:firstLine="0"/>
        <w:jc w:val="left"/>
        <w:rPr>
          <w:rFonts w:ascii="Arial" w:hAnsi="Arial"/>
          <w:sz w:val="18"/>
        </w:rPr>
      </w:pPr>
      <w:r>
        <w:rPr>
          <w:rFonts w:ascii="Arial" w:hAnsi="Arial"/>
          <w:sz w:val="18"/>
        </w:rPr>
        <w:t>Město Nový Jičín Masarykovo</w:t>
      </w:r>
      <w:r>
        <w:rPr>
          <w:rFonts w:ascii="Arial" w:hAnsi="Arial"/>
          <w:spacing w:val="-15"/>
          <w:sz w:val="18"/>
        </w:rPr>
        <w:t> </w:t>
      </w:r>
      <w:r>
        <w:rPr>
          <w:rFonts w:ascii="Arial" w:hAnsi="Arial"/>
          <w:sz w:val="18"/>
        </w:rPr>
        <w:t>nám.</w:t>
      </w:r>
      <w:r>
        <w:rPr>
          <w:rFonts w:ascii="Arial" w:hAnsi="Arial"/>
          <w:spacing w:val="-12"/>
          <w:sz w:val="18"/>
        </w:rPr>
        <w:t> </w:t>
      </w:r>
      <w:r>
        <w:rPr>
          <w:rFonts w:ascii="Arial" w:hAnsi="Arial"/>
          <w:sz w:val="18"/>
        </w:rPr>
        <w:t>1/1 741 01</w:t>
      </w:r>
      <w:r>
        <w:rPr>
          <w:rFonts w:ascii="Arial" w:hAnsi="Arial"/>
          <w:spacing w:val="40"/>
          <w:sz w:val="18"/>
        </w:rPr>
        <w:t> </w:t>
      </w:r>
      <w:r>
        <w:rPr>
          <w:rFonts w:ascii="Arial" w:hAnsi="Arial"/>
          <w:sz w:val="18"/>
        </w:rPr>
        <w:t>Nový Jičín</w:t>
      </w:r>
    </w:p>
    <w:p>
      <w:pPr>
        <w:spacing w:line="207" w:lineRule="exact" w:before="94"/>
        <w:ind w:left="393" w:right="0" w:firstLine="0"/>
        <w:jc w:val="left"/>
        <w:rPr>
          <w:rFonts w:ascii="Arial"/>
          <w:b/>
          <w:sz w:val="18"/>
        </w:rPr>
      </w:pPr>
      <w:r>
        <w:rPr/>
        <w:br w:type="column"/>
      </w:r>
      <w:r>
        <w:rPr>
          <w:rFonts w:ascii="Arial"/>
          <w:b/>
          <w:spacing w:val="-2"/>
          <w:sz w:val="18"/>
        </w:rPr>
        <w:t>KONTAKTY</w:t>
      </w:r>
    </w:p>
    <w:p>
      <w:pPr>
        <w:spacing w:line="207" w:lineRule="exact" w:before="0"/>
        <w:ind w:left="393" w:right="0" w:firstLine="0"/>
        <w:jc w:val="left"/>
        <w:rPr>
          <w:rFonts w:ascii="Arial"/>
          <w:sz w:val="18"/>
        </w:rPr>
      </w:pPr>
      <w:r>
        <w:rPr>
          <w:rFonts w:ascii="Arial"/>
          <w:sz w:val="18"/>
        </w:rPr>
        <w:t>ISDS: </w:t>
      </w:r>
      <w:r>
        <w:rPr>
          <w:rFonts w:ascii="Arial"/>
          <w:spacing w:val="-2"/>
          <w:sz w:val="18"/>
        </w:rPr>
        <w:t>ywmb4nc</w:t>
      </w:r>
    </w:p>
    <w:p>
      <w:pPr>
        <w:spacing w:line="207" w:lineRule="exact" w:before="0"/>
        <w:ind w:left="393" w:right="0" w:firstLine="0"/>
        <w:jc w:val="left"/>
        <w:rPr>
          <w:rFonts w:ascii="Arial"/>
          <w:sz w:val="18"/>
        </w:rPr>
      </w:pPr>
      <w:hyperlink r:id="rId7">
        <w:r>
          <w:rPr>
            <w:rFonts w:ascii="Arial"/>
            <w:sz w:val="18"/>
          </w:rPr>
          <w:t>e-</w:t>
        </w:r>
        <w:r>
          <w:rPr>
            <w:rFonts w:ascii="Arial"/>
            <w:spacing w:val="-2"/>
            <w:sz w:val="18"/>
          </w:rPr>
          <w:t>podatelna@novyjicin.cz</w:t>
        </w:r>
      </w:hyperlink>
    </w:p>
    <w:p>
      <w:pPr>
        <w:spacing w:line="207" w:lineRule="exact" w:before="0"/>
        <w:ind w:left="393" w:right="0" w:firstLine="0"/>
        <w:jc w:val="left"/>
        <w:rPr>
          <w:rFonts w:ascii="Arial"/>
          <w:sz w:val="18"/>
        </w:rPr>
      </w:pPr>
      <w:r>
        <w:rPr>
          <w:rFonts w:ascii="Arial"/>
          <w:sz w:val="18"/>
        </w:rPr>
        <w:t>+420</w:t>
      </w:r>
      <w:r>
        <w:rPr>
          <w:rFonts w:ascii="Arial"/>
          <w:spacing w:val="-3"/>
          <w:sz w:val="18"/>
        </w:rPr>
        <w:t> </w:t>
      </w:r>
      <w:r>
        <w:rPr>
          <w:rFonts w:ascii="Arial"/>
          <w:sz w:val="18"/>
        </w:rPr>
        <w:t>556</w:t>
      </w:r>
      <w:r>
        <w:rPr>
          <w:rFonts w:ascii="Arial"/>
          <w:spacing w:val="-3"/>
          <w:sz w:val="18"/>
        </w:rPr>
        <w:t> </w:t>
      </w:r>
      <w:r>
        <w:rPr>
          <w:rFonts w:ascii="Arial"/>
          <w:sz w:val="18"/>
        </w:rPr>
        <w:t>768</w:t>
      </w:r>
      <w:r>
        <w:rPr>
          <w:rFonts w:ascii="Arial"/>
          <w:spacing w:val="-2"/>
          <w:sz w:val="18"/>
        </w:rPr>
        <w:t> </w:t>
      </w:r>
      <w:r>
        <w:rPr>
          <w:rFonts w:ascii="Arial"/>
          <w:spacing w:val="-5"/>
          <w:sz w:val="18"/>
        </w:rPr>
        <w:t>222</w:t>
      </w:r>
    </w:p>
    <w:p>
      <w:pPr>
        <w:spacing w:line="207" w:lineRule="exact" w:before="94"/>
        <w:ind w:left="393" w:right="0" w:firstLine="0"/>
        <w:jc w:val="left"/>
        <w:rPr>
          <w:rFonts w:ascii="Arial"/>
          <w:b/>
          <w:sz w:val="18"/>
        </w:rPr>
      </w:pPr>
      <w:r>
        <w:rPr/>
        <w:br w:type="column"/>
      </w:r>
      <w:hyperlink r:id="rId8">
        <w:r>
          <w:rPr>
            <w:rFonts w:ascii="Arial"/>
            <w:b/>
            <w:spacing w:val="-2"/>
            <w:sz w:val="18"/>
          </w:rPr>
          <w:t>WWW.NOVYJICIN.CZ</w:t>
        </w:r>
      </w:hyperlink>
    </w:p>
    <w:p>
      <w:pPr>
        <w:spacing w:line="207" w:lineRule="exact" w:before="0"/>
        <w:ind w:left="393" w:right="0" w:firstLine="0"/>
        <w:jc w:val="left"/>
        <w:rPr>
          <w:rFonts w:ascii="Arial"/>
          <w:sz w:val="18"/>
        </w:rPr>
      </w:pPr>
      <w:r>
        <w:rPr>
          <w:rFonts w:ascii="Arial"/>
          <w:spacing w:val="-2"/>
          <w:sz w:val="18"/>
        </w:rPr>
        <w:t>facebook.com/novyjicin</w:t>
      </w:r>
    </w:p>
    <w:p>
      <w:pPr>
        <w:spacing w:before="0"/>
        <w:ind w:left="393" w:right="0" w:firstLine="0"/>
        <w:jc w:val="left"/>
        <w:rPr>
          <w:rFonts w:ascii="Arial" w:hAnsi="Arial"/>
          <w:sz w:val="18"/>
        </w:rPr>
      </w:pPr>
      <w:r>
        <w:rPr>
          <w:rFonts w:ascii="Arial" w:hAnsi="Arial"/>
          <w:sz w:val="18"/>
        </w:rPr>
        <w:t>IČO</w:t>
      </w:r>
      <w:r>
        <w:rPr>
          <w:rFonts w:ascii="Arial" w:hAnsi="Arial"/>
          <w:spacing w:val="-1"/>
          <w:sz w:val="18"/>
        </w:rPr>
        <w:t> </w:t>
      </w:r>
      <w:r>
        <w:rPr>
          <w:rFonts w:ascii="Arial" w:hAnsi="Arial"/>
          <w:spacing w:val="-2"/>
          <w:sz w:val="18"/>
        </w:rPr>
        <w:t>00298212</w:t>
      </w:r>
    </w:p>
    <w:p>
      <w:pPr>
        <w:spacing w:after="0"/>
        <w:jc w:val="left"/>
        <w:rPr>
          <w:rFonts w:ascii="Arial" w:hAnsi="Arial"/>
          <w:sz w:val="18"/>
        </w:rPr>
        <w:sectPr>
          <w:type w:val="continuous"/>
          <w:pgSz w:w="11910" w:h="16840"/>
          <w:pgMar w:top="740" w:bottom="280" w:left="740" w:right="740"/>
          <w:cols w:num="3" w:equalWidth="0">
            <w:col w:w="2154" w:space="1897"/>
            <w:col w:w="2488" w:space="1241"/>
            <w:col w:w="2650"/>
          </w:cols>
        </w:sectPr>
      </w:pPr>
    </w:p>
    <w:p>
      <w:pPr>
        <w:spacing w:before="73"/>
        <w:ind w:left="393" w:right="0" w:firstLine="0"/>
        <w:jc w:val="left"/>
        <w:rPr>
          <w:rFonts w:ascii="Arial" w:hAnsi="Arial"/>
          <w:sz w:val="20"/>
        </w:rPr>
      </w:pPr>
      <w:r>
        <w:rPr>
          <w:rFonts w:ascii="Arial" w:hAnsi="Arial"/>
          <w:spacing w:val="-2"/>
          <w:sz w:val="20"/>
        </w:rPr>
        <w:t>Č.j.:</w:t>
      </w:r>
      <w:r>
        <w:rPr>
          <w:rFonts w:ascii="Arial" w:hAnsi="Arial"/>
          <w:spacing w:val="26"/>
          <w:sz w:val="20"/>
        </w:rPr>
        <w:t> </w:t>
      </w:r>
      <w:r>
        <w:rPr>
          <w:rFonts w:ascii="Arial" w:hAnsi="Arial"/>
          <w:spacing w:val="-2"/>
          <w:sz w:val="20"/>
        </w:rPr>
        <w:t>MUNJ-</w:t>
      </w:r>
      <w:r>
        <w:rPr>
          <w:rFonts w:ascii="Arial" w:hAnsi="Arial"/>
          <w:spacing w:val="-2"/>
          <w:sz w:val="22"/>
        </w:rPr>
        <w:t>63260/2024</w:t>
      </w:r>
      <w:r>
        <w:rPr>
          <w:rFonts w:ascii="Arial" w:hAnsi="Arial"/>
          <w:spacing w:val="-2"/>
          <w:sz w:val="20"/>
        </w:rPr>
        <w:t>/OSM-Hrn-</w:t>
      </w:r>
      <w:r>
        <w:rPr>
          <w:rFonts w:ascii="Arial" w:hAnsi="Arial"/>
          <w:spacing w:val="-4"/>
          <w:sz w:val="20"/>
        </w:rPr>
        <w:t>2213</w:t>
      </w:r>
    </w:p>
    <w:p>
      <w:pPr>
        <w:pStyle w:val="BodyText"/>
        <w:spacing w:before="27"/>
        <w:ind w:left="753"/>
      </w:pPr>
      <w:r>
        <w:rPr/>
        <w:t>pozdějších</w:t>
      </w:r>
      <w:r>
        <w:rPr>
          <w:spacing w:val="27"/>
        </w:rPr>
        <w:t> </w:t>
      </w:r>
      <w:r>
        <w:rPr/>
        <w:t>předpisů</w:t>
      </w:r>
      <w:r>
        <w:rPr>
          <w:spacing w:val="24"/>
        </w:rPr>
        <w:t> </w:t>
      </w:r>
      <w:r>
        <w:rPr/>
        <w:t>(dále</w:t>
      </w:r>
      <w:r>
        <w:rPr>
          <w:spacing w:val="27"/>
        </w:rPr>
        <w:t> </w:t>
      </w:r>
      <w:r>
        <w:rPr/>
        <w:t>jen</w:t>
      </w:r>
      <w:r>
        <w:rPr>
          <w:spacing w:val="27"/>
        </w:rPr>
        <w:t> </w:t>
      </w:r>
      <w:r>
        <w:rPr/>
        <w:t>"stavební</w:t>
      </w:r>
      <w:r>
        <w:rPr>
          <w:spacing w:val="26"/>
        </w:rPr>
        <w:t> </w:t>
      </w:r>
      <w:r>
        <w:rPr/>
        <w:t>zákon"),</w:t>
      </w:r>
      <w:r>
        <w:rPr>
          <w:spacing w:val="28"/>
        </w:rPr>
        <w:t> </w:t>
      </w:r>
      <w:r>
        <w:rPr/>
        <w:t>bude</w:t>
      </w:r>
      <w:r>
        <w:rPr>
          <w:spacing w:val="28"/>
        </w:rPr>
        <w:t> </w:t>
      </w:r>
      <w:r>
        <w:rPr/>
        <w:t>vydán</w:t>
      </w:r>
      <w:r>
        <w:rPr>
          <w:spacing w:val="28"/>
        </w:rPr>
        <w:t> </w:t>
      </w:r>
      <w:r>
        <w:rPr/>
        <w:t>až</w:t>
      </w:r>
      <w:r>
        <w:rPr>
          <w:spacing w:val="27"/>
        </w:rPr>
        <w:t> </w:t>
      </w:r>
      <w:r>
        <w:rPr/>
        <w:t>po</w:t>
      </w:r>
      <w:r>
        <w:rPr>
          <w:spacing w:val="29"/>
        </w:rPr>
        <w:t> </w:t>
      </w:r>
      <w:r>
        <w:rPr/>
        <w:t>uzavření</w:t>
      </w:r>
      <w:r>
        <w:rPr>
          <w:spacing w:val="26"/>
        </w:rPr>
        <w:t> </w:t>
      </w:r>
      <w:r>
        <w:rPr/>
        <w:t>této</w:t>
      </w:r>
      <w:r>
        <w:rPr>
          <w:spacing w:val="27"/>
        </w:rPr>
        <w:t> </w:t>
      </w:r>
      <w:r>
        <w:rPr/>
        <w:t>smlouvy</w:t>
      </w:r>
      <w:r>
        <w:rPr>
          <w:spacing w:val="36"/>
        </w:rPr>
        <w:t> </w:t>
      </w:r>
      <w:r>
        <w:rPr/>
        <w:t>(Smlouvy</w:t>
      </w:r>
      <w:r>
        <w:rPr>
          <w:spacing w:val="27"/>
        </w:rPr>
        <w:t> </w:t>
      </w:r>
      <w:r>
        <w:rPr>
          <w:spacing w:val="-10"/>
        </w:rPr>
        <w:t>o</w:t>
      </w:r>
    </w:p>
    <w:p>
      <w:pPr>
        <w:pStyle w:val="BodyText"/>
        <w:spacing w:before="1"/>
        <w:ind w:left="753"/>
      </w:pPr>
      <w:r>
        <w:rPr/>
        <w:t>smlouvě</w:t>
      </w:r>
      <w:r>
        <w:rPr>
          <w:spacing w:val="-7"/>
        </w:rPr>
        <w:t> </w:t>
      </w:r>
      <w:r>
        <w:rPr/>
        <w:t>budoucí</w:t>
      </w:r>
      <w:r>
        <w:rPr>
          <w:spacing w:val="-6"/>
        </w:rPr>
        <w:t> </w:t>
      </w:r>
      <w:r>
        <w:rPr/>
        <w:t>o</w:t>
      </w:r>
      <w:r>
        <w:rPr>
          <w:spacing w:val="-3"/>
        </w:rPr>
        <w:t> </w:t>
      </w:r>
      <w:r>
        <w:rPr/>
        <w:t>zřízení</w:t>
      </w:r>
      <w:r>
        <w:rPr>
          <w:spacing w:val="-5"/>
        </w:rPr>
        <w:t> </w:t>
      </w:r>
      <w:r>
        <w:rPr/>
        <w:t>služebnosti</w:t>
      </w:r>
      <w:r>
        <w:rPr>
          <w:spacing w:val="-4"/>
        </w:rPr>
        <w:t> </w:t>
      </w:r>
      <w:r>
        <w:rPr/>
        <w:t>inženýrské</w:t>
      </w:r>
      <w:r>
        <w:rPr>
          <w:spacing w:val="-6"/>
        </w:rPr>
        <w:t> </w:t>
      </w:r>
      <w:r>
        <w:rPr>
          <w:spacing w:val="-2"/>
        </w:rPr>
        <w:t>sítě).</w:t>
      </w:r>
    </w:p>
    <w:p>
      <w:pPr>
        <w:pStyle w:val="ListParagraph"/>
        <w:numPr>
          <w:ilvl w:val="0"/>
          <w:numId w:val="1"/>
        </w:numPr>
        <w:tabs>
          <w:tab w:pos="676" w:val="left" w:leader="none"/>
        </w:tabs>
        <w:spacing w:line="240" w:lineRule="auto" w:before="0" w:after="0"/>
        <w:ind w:left="676" w:right="248" w:hanging="567"/>
        <w:jc w:val="left"/>
        <w:rPr>
          <w:sz w:val="22"/>
        </w:rPr>
      </w:pPr>
      <w:r>
        <w:rPr>
          <w:sz w:val="22"/>
        </w:rPr>
        <w:t>Zasahuje-li</w:t>
      </w:r>
      <w:r>
        <w:rPr>
          <w:spacing w:val="21"/>
          <w:sz w:val="22"/>
        </w:rPr>
        <w:t> </w:t>
      </w:r>
      <w:r>
        <w:rPr>
          <w:sz w:val="22"/>
        </w:rPr>
        <w:t>stavba či</w:t>
      </w:r>
      <w:r>
        <w:rPr>
          <w:spacing w:val="22"/>
          <w:sz w:val="22"/>
        </w:rPr>
        <w:t> </w:t>
      </w:r>
      <w:r>
        <w:rPr>
          <w:sz w:val="22"/>
        </w:rPr>
        <w:t>její</w:t>
      </w:r>
      <w:r>
        <w:rPr>
          <w:spacing w:val="22"/>
          <w:sz w:val="22"/>
        </w:rPr>
        <w:t> </w:t>
      </w:r>
      <w:r>
        <w:rPr>
          <w:sz w:val="22"/>
        </w:rPr>
        <w:t>část</w:t>
      </w:r>
      <w:r>
        <w:rPr>
          <w:spacing w:val="22"/>
          <w:sz w:val="22"/>
        </w:rPr>
        <w:t> </w:t>
      </w:r>
      <w:r>
        <w:rPr>
          <w:sz w:val="22"/>
        </w:rPr>
        <w:t>(včetně</w:t>
      </w:r>
      <w:r>
        <w:rPr>
          <w:spacing w:val="22"/>
          <w:sz w:val="22"/>
        </w:rPr>
        <w:t> </w:t>
      </w:r>
      <w:r>
        <w:rPr>
          <w:sz w:val="22"/>
        </w:rPr>
        <w:t>záborů</w:t>
      </w:r>
      <w:r>
        <w:rPr>
          <w:spacing w:val="21"/>
          <w:sz w:val="22"/>
        </w:rPr>
        <w:t> </w:t>
      </w:r>
      <w:r>
        <w:rPr>
          <w:sz w:val="22"/>
        </w:rPr>
        <w:t>a výkopových</w:t>
      </w:r>
      <w:r>
        <w:rPr>
          <w:spacing w:val="21"/>
          <w:sz w:val="22"/>
        </w:rPr>
        <w:t> </w:t>
      </w:r>
      <w:r>
        <w:rPr>
          <w:sz w:val="22"/>
        </w:rPr>
        <w:t>prací)</w:t>
      </w:r>
      <w:r>
        <w:rPr>
          <w:spacing w:val="22"/>
          <w:sz w:val="22"/>
        </w:rPr>
        <w:t> </w:t>
      </w:r>
      <w:r>
        <w:rPr>
          <w:sz w:val="22"/>
        </w:rPr>
        <w:t>do</w:t>
      </w:r>
      <w:r>
        <w:rPr>
          <w:spacing w:val="22"/>
          <w:sz w:val="22"/>
        </w:rPr>
        <w:t> </w:t>
      </w:r>
      <w:r>
        <w:rPr>
          <w:sz w:val="22"/>
        </w:rPr>
        <w:t>zeleně</w:t>
      </w:r>
      <w:r>
        <w:rPr>
          <w:spacing w:val="20"/>
          <w:sz w:val="22"/>
        </w:rPr>
        <w:t> </w:t>
      </w:r>
      <w:r>
        <w:rPr>
          <w:sz w:val="22"/>
        </w:rPr>
        <w:t>v majetku města</w:t>
      </w:r>
      <w:r>
        <w:rPr>
          <w:spacing w:val="20"/>
          <w:sz w:val="22"/>
        </w:rPr>
        <w:t> </w:t>
      </w:r>
      <w:r>
        <w:rPr>
          <w:sz w:val="22"/>
        </w:rPr>
        <w:t>Nový</w:t>
      </w:r>
      <w:r>
        <w:rPr>
          <w:spacing w:val="20"/>
          <w:sz w:val="22"/>
        </w:rPr>
        <w:t> </w:t>
      </w:r>
      <w:r>
        <w:rPr>
          <w:sz w:val="22"/>
        </w:rPr>
        <w:t>Jičín, stavebník před užíváním požádá o souhlas odbor životního prostředí MěÚ Nový Jičín.</w:t>
      </w:r>
    </w:p>
    <w:p>
      <w:pPr>
        <w:pStyle w:val="BodyText"/>
      </w:pPr>
    </w:p>
    <w:p>
      <w:pPr>
        <w:pStyle w:val="BodyText"/>
        <w:spacing w:before="1"/>
      </w:pPr>
    </w:p>
    <w:p>
      <w:pPr>
        <w:spacing w:before="0"/>
        <w:ind w:left="393" w:right="0" w:firstLine="0"/>
        <w:jc w:val="left"/>
        <w:rPr>
          <w:b/>
          <w:sz w:val="22"/>
        </w:rPr>
      </w:pPr>
      <w:r>
        <w:rPr>
          <w:b/>
          <w:sz w:val="22"/>
          <w:u w:val="single"/>
        </w:rPr>
        <w:t>Vyjádření</w:t>
      </w:r>
      <w:r>
        <w:rPr>
          <w:b/>
          <w:spacing w:val="-6"/>
          <w:sz w:val="22"/>
          <w:u w:val="single"/>
        </w:rPr>
        <w:t> </w:t>
      </w:r>
      <w:r>
        <w:rPr>
          <w:b/>
          <w:sz w:val="22"/>
          <w:u w:val="single"/>
        </w:rPr>
        <w:t>k</w:t>
      </w:r>
      <w:r>
        <w:rPr>
          <w:b/>
          <w:spacing w:val="-5"/>
          <w:sz w:val="22"/>
          <w:u w:val="single"/>
        </w:rPr>
        <w:t> </w:t>
      </w:r>
      <w:r>
        <w:rPr>
          <w:b/>
          <w:sz w:val="22"/>
          <w:u w:val="single"/>
        </w:rPr>
        <w:t>existenci</w:t>
      </w:r>
      <w:r>
        <w:rPr>
          <w:b/>
          <w:spacing w:val="-5"/>
          <w:sz w:val="22"/>
          <w:u w:val="single"/>
        </w:rPr>
        <w:t> </w:t>
      </w:r>
      <w:r>
        <w:rPr>
          <w:b/>
          <w:sz w:val="22"/>
          <w:u w:val="single"/>
        </w:rPr>
        <w:t>inženýrských</w:t>
      </w:r>
      <w:r>
        <w:rPr>
          <w:b/>
          <w:spacing w:val="-5"/>
          <w:sz w:val="22"/>
          <w:u w:val="single"/>
        </w:rPr>
        <w:t> </w:t>
      </w:r>
      <w:r>
        <w:rPr>
          <w:b/>
          <w:sz w:val="22"/>
          <w:u w:val="single"/>
        </w:rPr>
        <w:t>sítí</w:t>
      </w:r>
      <w:r>
        <w:rPr>
          <w:b/>
          <w:spacing w:val="-6"/>
          <w:sz w:val="22"/>
          <w:u w:val="single"/>
        </w:rPr>
        <w:t> </w:t>
      </w:r>
      <w:r>
        <w:rPr>
          <w:b/>
          <w:sz w:val="22"/>
          <w:u w:val="single"/>
        </w:rPr>
        <w:t>v</w:t>
      </w:r>
      <w:r>
        <w:rPr>
          <w:b/>
          <w:spacing w:val="-1"/>
          <w:sz w:val="22"/>
          <w:u w:val="single"/>
        </w:rPr>
        <w:t> </w:t>
      </w:r>
      <w:r>
        <w:rPr>
          <w:b/>
          <w:sz w:val="22"/>
          <w:u w:val="single"/>
        </w:rPr>
        <w:t>majetku</w:t>
      </w:r>
      <w:r>
        <w:rPr>
          <w:b/>
          <w:spacing w:val="-5"/>
          <w:sz w:val="22"/>
          <w:u w:val="single"/>
        </w:rPr>
        <w:t> </w:t>
      </w:r>
      <w:r>
        <w:rPr>
          <w:b/>
          <w:sz w:val="22"/>
          <w:u w:val="single"/>
        </w:rPr>
        <w:t>Města</w:t>
      </w:r>
      <w:r>
        <w:rPr>
          <w:b/>
          <w:spacing w:val="-5"/>
          <w:sz w:val="22"/>
          <w:u w:val="single"/>
        </w:rPr>
        <w:t> </w:t>
      </w:r>
      <w:r>
        <w:rPr>
          <w:b/>
          <w:sz w:val="22"/>
          <w:u w:val="single"/>
        </w:rPr>
        <w:t>Nový</w:t>
      </w:r>
      <w:r>
        <w:rPr>
          <w:b/>
          <w:spacing w:val="-3"/>
          <w:sz w:val="22"/>
          <w:u w:val="single"/>
        </w:rPr>
        <w:t> </w:t>
      </w:r>
      <w:r>
        <w:rPr>
          <w:b/>
          <w:spacing w:val="-2"/>
          <w:sz w:val="22"/>
          <w:u w:val="single"/>
        </w:rPr>
        <w:t>Jičín:</w:t>
      </w:r>
    </w:p>
    <w:p>
      <w:pPr>
        <w:pStyle w:val="BodyText"/>
        <w:spacing w:before="1"/>
        <w:ind w:left="393"/>
      </w:pPr>
      <w:r>
        <w:rPr/>
        <w:t>a)</w:t>
      </w:r>
      <w:r>
        <w:rPr>
          <w:spacing w:val="-2"/>
        </w:rPr>
        <w:t> </w:t>
      </w:r>
      <w:r>
        <w:rPr/>
        <w:t>Veřejné</w:t>
      </w:r>
      <w:r>
        <w:rPr>
          <w:spacing w:val="-5"/>
        </w:rPr>
        <w:t> </w:t>
      </w:r>
      <w:r>
        <w:rPr/>
        <w:t>osvětlení</w:t>
      </w:r>
      <w:r>
        <w:rPr>
          <w:spacing w:val="-3"/>
        </w:rPr>
        <w:t> </w:t>
      </w:r>
      <w:r>
        <w:rPr/>
        <w:t>-</w:t>
      </w:r>
      <w:r>
        <w:rPr>
          <w:spacing w:val="-2"/>
        </w:rPr>
        <w:t> </w:t>
      </w:r>
      <w:r>
        <w:rPr/>
        <w:t>žadatel</w:t>
      </w:r>
      <w:r>
        <w:rPr>
          <w:spacing w:val="-2"/>
        </w:rPr>
        <w:t> </w:t>
      </w:r>
      <w:r>
        <w:rPr/>
        <w:t>musí</w:t>
      </w:r>
      <w:r>
        <w:rPr>
          <w:spacing w:val="-2"/>
        </w:rPr>
        <w:t> </w:t>
      </w:r>
      <w:r>
        <w:rPr/>
        <w:t>bezpodmínečně</w:t>
      </w:r>
      <w:r>
        <w:rPr>
          <w:spacing w:val="-2"/>
        </w:rPr>
        <w:t> </w:t>
      </w:r>
      <w:r>
        <w:rPr/>
        <w:t>respektovat</w:t>
      </w:r>
      <w:r>
        <w:rPr>
          <w:spacing w:val="-5"/>
        </w:rPr>
        <w:t> </w:t>
      </w:r>
      <w:r>
        <w:rPr/>
        <w:t>přiložené</w:t>
      </w:r>
      <w:r>
        <w:rPr>
          <w:spacing w:val="-4"/>
        </w:rPr>
        <w:t> </w:t>
      </w:r>
      <w:r>
        <w:rPr/>
        <w:t>vyjádření</w:t>
      </w:r>
      <w:r>
        <w:rPr>
          <w:spacing w:val="-2"/>
        </w:rPr>
        <w:t> </w:t>
      </w:r>
      <w:r>
        <w:rPr/>
        <w:t>Technických</w:t>
      </w:r>
      <w:r>
        <w:rPr>
          <w:spacing w:val="-2"/>
        </w:rPr>
        <w:t> </w:t>
      </w:r>
      <w:r>
        <w:rPr/>
        <w:t>služeb</w:t>
      </w:r>
      <w:r>
        <w:rPr>
          <w:spacing w:val="-2"/>
        </w:rPr>
        <w:t> </w:t>
      </w:r>
      <w:r>
        <w:rPr/>
        <w:t>města Nový Jičín č.j. 57/2024/Sta, ze dne 11.04.2024, které je součástí tohoto vyjádření.</w:t>
      </w:r>
    </w:p>
    <w:p>
      <w:pPr>
        <w:pStyle w:val="BodyText"/>
      </w:pPr>
    </w:p>
    <w:p>
      <w:pPr>
        <w:pStyle w:val="BodyText"/>
      </w:pPr>
    </w:p>
    <w:p>
      <w:pPr>
        <w:pStyle w:val="BodyText"/>
        <w:spacing w:before="267"/>
      </w:pPr>
    </w:p>
    <w:p>
      <w:pPr>
        <w:pStyle w:val="BodyText"/>
        <w:ind w:left="393"/>
      </w:pPr>
      <w:r>
        <w:rPr/>
        <w:t>Platnost</w:t>
      </w:r>
      <w:r>
        <w:rPr>
          <w:spacing w:val="-7"/>
        </w:rPr>
        <w:t> </w:t>
      </w:r>
      <w:r>
        <w:rPr/>
        <w:t>vyjádření</w:t>
      </w:r>
      <w:r>
        <w:rPr>
          <w:spacing w:val="-3"/>
        </w:rPr>
        <w:t> </w:t>
      </w:r>
      <w:r>
        <w:rPr/>
        <w:t>je</w:t>
      </w:r>
      <w:r>
        <w:rPr>
          <w:spacing w:val="-4"/>
        </w:rPr>
        <w:t> </w:t>
      </w:r>
      <w:r>
        <w:rPr/>
        <w:t>1</w:t>
      </w:r>
      <w:r>
        <w:rPr>
          <w:spacing w:val="-1"/>
        </w:rPr>
        <w:t> </w:t>
      </w:r>
      <w:r>
        <w:rPr/>
        <w:t>rok</w:t>
      </w:r>
      <w:r>
        <w:rPr>
          <w:spacing w:val="-6"/>
        </w:rPr>
        <w:t> </w:t>
      </w:r>
      <w:r>
        <w:rPr/>
        <w:t>od</w:t>
      </w:r>
      <w:r>
        <w:rPr>
          <w:spacing w:val="-3"/>
        </w:rPr>
        <w:t> </w:t>
      </w:r>
      <w:r>
        <w:rPr>
          <w:spacing w:val="-2"/>
        </w:rPr>
        <w:t>vydání.</w:t>
      </w:r>
    </w:p>
    <w:p>
      <w:pPr>
        <w:pStyle w:val="BodyText"/>
        <w:rPr>
          <w:sz w:val="20"/>
        </w:rPr>
      </w:pPr>
    </w:p>
    <w:p>
      <w:pPr>
        <w:pStyle w:val="BodyText"/>
        <w:rPr>
          <w:sz w:val="20"/>
        </w:rPr>
      </w:pPr>
    </w:p>
    <w:p>
      <w:pPr>
        <w:pStyle w:val="BodyText"/>
        <w:spacing w:before="19"/>
        <w:rPr>
          <w:sz w:val="20"/>
        </w:rPr>
      </w:pPr>
    </w:p>
    <w:p>
      <w:pPr>
        <w:spacing w:after="0"/>
        <w:rPr>
          <w:sz w:val="20"/>
        </w:rPr>
        <w:sectPr>
          <w:pgSz w:w="11910" w:h="16840"/>
          <w:pgMar w:top="760" w:bottom="280" w:left="740" w:right="740"/>
        </w:sectPr>
      </w:pPr>
    </w:p>
    <w:p>
      <w:pPr>
        <w:pStyle w:val="BodyText"/>
        <w:spacing w:before="56"/>
        <w:ind w:left="393" w:right="38"/>
      </w:pPr>
      <w:r>
        <w:rPr/>
        <w:t>Ing. Tomáš Hrňa Odbor</w:t>
      </w:r>
      <w:r>
        <w:rPr>
          <w:spacing w:val="-13"/>
        </w:rPr>
        <w:t> </w:t>
      </w:r>
      <w:r>
        <w:rPr/>
        <w:t>správy</w:t>
      </w:r>
      <w:r>
        <w:rPr>
          <w:spacing w:val="-12"/>
        </w:rPr>
        <w:t> </w:t>
      </w:r>
      <w:r>
        <w:rPr/>
        <w:t>majetku</w:t>
      </w:r>
    </w:p>
    <w:p>
      <w:pPr>
        <w:spacing w:line="211" w:lineRule="auto" w:before="203"/>
        <w:ind w:left="393" w:right="3275" w:firstLine="0"/>
        <w:jc w:val="left"/>
        <w:rPr>
          <w:rFonts w:ascii="Arial" w:hAnsi="Arial"/>
          <w:sz w:val="23"/>
        </w:rPr>
      </w:pPr>
      <w:r>
        <w:rPr/>
        <w:br w:type="column"/>
      </w:r>
      <w:r>
        <w:rPr>
          <w:rFonts w:ascii="Arial" w:hAnsi="Arial"/>
          <w:sz w:val="23"/>
        </w:rPr>
        <w:t>Digitálně podepsal Ing. Tomáš Hrňa Datum:</w:t>
      </w:r>
      <w:r>
        <w:rPr>
          <w:rFonts w:ascii="Arial" w:hAnsi="Arial"/>
          <w:spacing w:val="2"/>
          <w:sz w:val="23"/>
        </w:rPr>
        <w:t> </w:t>
      </w:r>
      <w:r>
        <w:rPr>
          <w:rFonts w:ascii="Arial" w:hAnsi="Arial"/>
          <w:sz w:val="23"/>
        </w:rPr>
        <w:t>26.04.2024</w:t>
      </w:r>
      <w:r>
        <w:rPr>
          <w:rFonts w:ascii="Arial" w:hAnsi="Arial"/>
          <w:spacing w:val="2"/>
          <w:sz w:val="23"/>
        </w:rPr>
        <w:t> </w:t>
      </w:r>
      <w:r>
        <w:rPr>
          <w:rFonts w:ascii="Arial" w:hAnsi="Arial"/>
          <w:sz w:val="23"/>
        </w:rPr>
        <w:t>10:28:10</w:t>
      </w:r>
      <w:r>
        <w:rPr>
          <w:rFonts w:ascii="Arial" w:hAnsi="Arial"/>
          <w:spacing w:val="2"/>
          <w:sz w:val="23"/>
        </w:rPr>
        <w:t> </w:t>
      </w:r>
      <w:r>
        <w:rPr>
          <w:rFonts w:ascii="Arial" w:hAnsi="Arial"/>
          <w:spacing w:val="-2"/>
          <w:sz w:val="23"/>
        </w:rPr>
        <w:t>+02:00</w:t>
      </w:r>
    </w:p>
    <w:p>
      <w:pPr>
        <w:spacing w:after="0" w:line="211" w:lineRule="auto"/>
        <w:jc w:val="left"/>
        <w:rPr>
          <w:rFonts w:ascii="Arial" w:hAnsi="Arial"/>
          <w:sz w:val="23"/>
        </w:rPr>
        <w:sectPr>
          <w:type w:val="continuous"/>
          <w:pgSz w:w="11910" w:h="16840"/>
          <w:pgMar w:top="740" w:bottom="280" w:left="740" w:right="740"/>
          <w:cols w:num="2" w:equalWidth="0">
            <w:col w:w="2420" w:space="606"/>
            <w:col w:w="7404"/>
          </w:cols>
        </w:sectPr>
      </w:pPr>
    </w:p>
    <w:p>
      <w:pPr>
        <w:pStyle w:val="BodyText"/>
        <w:rPr>
          <w:rFonts w:ascii="Arial"/>
        </w:rPr>
      </w:pPr>
    </w:p>
    <w:p>
      <w:pPr>
        <w:pStyle w:val="BodyText"/>
        <w:rPr>
          <w:rFonts w:ascii="Arial"/>
        </w:rPr>
      </w:pPr>
    </w:p>
    <w:p>
      <w:pPr>
        <w:pStyle w:val="BodyText"/>
        <w:rPr>
          <w:rFonts w:ascii="Arial"/>
        </w:rPr>
      </w:pPr>
    </w:p>
    <w:p>
      <w:pPr>
        <w:pStyle w:val="BodyText"/>
        <w:rPr>
          <w:rFonts w:ascii="Arial"/>
        </w:rPr>
      </w:pPr>
    </w:p>
    <w:p>
      <w:pPr>
        <w:pStyle w:val="BodyText"/>
        <w:rPr>
          <w:rFonts w:ascii="Arial"/>
        </w:rPr>
      </w:pPr>
    </w:p>
    <w:p>
      <w:pPr>
        <w:pStyle w:val="BodyText"/>
        <w:rPr>
          <w:rFonts w:ascii="Arial"/>
        </w:rPr>
      </w:pPr>
    </w:p>
    <w:p>
      <w:pPr>
        <w:pStyle w:val="BodyText"/>
        <w:rPr>
          <w:rFonts w:ascii="Arial"/>
        </w:rPr>
      </w:pPr>
    </w:p>
    <w:p>
      <w:pPr>
        <w:pStyle w:val="BodyText"/>
        <w:spacing w:before="145"/>
        <w:rPr>
          <w:rFonts w:ascii="Arial"/>
        </w:rPr>
      </w:pPr>
    </w:p>
    <w:p>
      <w:pPr>
        <w:pStyle w:val="BodyText"/>
        <w:ind w:left="393" w:right="387"/>
        <w:jc w:val="both"/>
      </w:pPr>
      <w:r>
        <w:rPr>
          <w:sz w:val="23"/>
        </w:rPr>
        <w:t>Příloha č. 1 -</w:t>
      </w:r>
      <w:r>
        <w:rPr>
          <w:spacing w:val="-3"/>
          <w:sz w:val="23"/>
        </w:rPr>
        <w:t> </w:t>
      </w:r>
      <w:r>
        <w:rPr/>
        <w:t>„Zásady pro provádění výkopových prací</w:t>
      </w:r>
      <w:r>
        <w:rPr>
          <w:spacing w:val="-2"/>
        </w:rPr>
        <w:t> </w:t>
      </w:r>
      <w:r>
        <w:rPr/>
        <w:t>a umísťování stavebních</w:t>
      </w:r>
      <w:r>
        <w:rPr>
          <w:spacing w:val="-1"/>
        </w:rPr>
        <w:t> </w:t>
      </w:r>
      <w:r>
        <w:rPr/>
        <w:t>zařízení a skládek</w:t>
      </w:r>
      <w:r>
        <w:rPr>
          <w:spacing w:val="-2"/>
        </w:rPr>
        <w:t> </w:t>
      </w:r>
      <w:r>
        <w:rPr/>
        <w:t>v místních a účelových komunikacích v majetku Města Nový Jičín“</w:t>
      </w:r>
    </w:p>
    <w:p>
      <w:pPr>
        <w:spacing w:before="1"/>
        <w:ind w:left="393" w:right="388" w:firstLine="0"/>
        <w:jc w:val="both"/>
        <w:rPr>
          <w:sz w:val="22"/>
        </w:rPr>
      </w:pPr>
      <w:r>
        <w:rPr>
          <w:sz w:val="23"/>
        </w:rPr>
        <w:t>Příloha č. 2 – Situace stavby z projektové dokumentace obsažené v žádosti </w:t>
      </w:r>
      <w:r>
        <w:rPr>
          <w:sz w:val="22"/>
        </w:rPr>
        <w:t>pod č.j. MUNJ- 63035/2024/OSM-Hrn-2213 ze dne 22.04.2024 (tento dokument </w:t>
      </w:r>
      <w:r>
        <w:rPr>
          <w:b/>
          <w:sz w:val="22"/>
        </w:rPr>
        <w:t>není souhlasem </w:t>
      </w:r>
      <w:r>
        <w:rPr>
          <w:sz w:val="22"/>
        </w:rPr>
        <w:t>dle § 184a) zákona č. 183/2006 Sb., o územním plánování a stavebním řádu (stavební zákon)</w:t>
      </w:r>
    </w:p>
    <w:p>
      <w:pPr>
        <w:pStyle w:val="BodyText"/>
        <w:spacing w:before="1"/>
        <w:ind w:left="393" w:right="389"/>
        <w:jc w:val="both"/>
      </w:pPr>
      <w:r>
        <w:rPr>
          <w:sz w:val="23"/>
        </w:rPr>
        <w:t>Příloha č. 3 – </w:t>
      </w:r>
      <w:r>
        <w:rPr/>
        <w:t>Stanovisko MěÚ Nový Jičín, odboru životního prostředí, č.j. MUNJ-64251/2024/OŽP-Bok, ze dne 24.04.2024,</w:t>
      </w:r>
    </w:p>
    <w:p>
      <w:pPr>
        <w:pStyle w:val="BodyText"/>
        <w:ind w:left="393"/>
        <w:jc w:val="both"/>
      </w:pPr>
      <w:r>
        <w:rPr>
          <w:sz w:val="23"/>
        </w:rPr>
        <w:t>Příloha</w:t>
      </w:r>
      <w:r>
        <w:rPr>
          <w:spacing w:val="-5"/>
          <w:sz w:val="23"/>
        </w:rPr>
        <w:t> </w:t>
      </w:r>
      <w:r>
        <w:rPr>
          <w:sz w:val="23"/>
        </w:rPr>
        <w:t>č.</w:t>
      </w:r>
      <w:r>
        <w:rPr>
          <w:spacing w:val="-6"/>
          <w:sz w:val="23"/>
        </w:rPr>
        <w:t> </w:t>
      </w:r>
      <w:r>
        <w:rPr>
          <w:sz w:val="23"/>
        </w:rPr>
        <w:t>4</w:t>
      </w:r>
      <w:r>
        <w:rPr>
          <w:spacing w:val="-1"/>
          <w:sz w:val="23"/>
        </w:rPr>
        <w:t> </w:t>
      </w:r>
      <w:r>
        <w:rPr>
          <w:sz w:val="23"/>
        </w:rPr>
        <w:t>–</w:t>
      </w:r>
      <w:r>
        <w:rPr>
          <w:spacing w:val="-5"/>
          <w:sz w:val="23"/>
        </w:rPr>
        <w:t> </w:t>
      </w:r>
      <w:r>
        <w:rPr/>
        <w:t>Vyjádření</w:t>
      </w:r>
      <w:r>
        <w:rPr>
          <w:spacing w:val="-6"/>
        </w:rPr>
        <w:t> </w:t>
      </w:r>
      <w:r>
        <w:rPr/>
        <w:t>Technických</w:t>
      </w:r>
      <w:r>
        <w:rPr>
          <w:spacing w:val="-3"/>
        </w:rPr>
        <w:t> </w:t>
      </w:r>
      <w:r>
        <w:rPr/>
        <w:t>služeb</w:t>
      </w:r>
      <w:r>
        <w:rPr>
          <w:spacing w:val="-5"/>
        </w:rPr>
        <w:t> </w:t>
      </w:r>
      <w:r>
        <w:rPr/>
        <w:t>města</w:t>
      </w:r>
      <w:r>
        <w:rPr>
          <w:spacing w:val="-3"/>
        </w:rPr>
        <w:t> </w:t>
      </w:r>
      <w:r>
        <w:rPr/>
        <w:t>Nový</w:t>
      </w:r>
      <w:r>
        <w:rPr>
          <w:spacing w:val="-3"/>
        </w:rPr>
        <w:t> </w:t>
      </w:r>
      <w:r>
        <w:rPr/>
        <w:t>Jičín</w:t>
      </w:r>
      <w:r>
        <w:rPr>
          <w:spacing w:val="-5"/>
        </w:rPr>
        <w:t> </w:t>
      </w:r>
      <w:r>
        <w:rPr/>
        <w:t>č.j.</w:t>
      </w:r>
      <w:r>
        <w:rPr>
          <w:spacing w:val="-1"/>
        </w:rPr>
        <w:t> </w:t>
      </w:r>
      <w:r>
        <w:rPr/>
        <w:t>57/2024/Sta,</w:t>
      </w:r>
      <w:r>
        <w:rPr>
          <w:spacing w:val="-6"/>
        </w:rPr>
        <w:t> </w:t>
      </w:r>
      <w:r>
        <w:rPr/>
        <w:t>ze</w:t>
      </w:r>
      <w:r>
        <w:rPr>
          <w:spacing w:val="-5"/>
        </w:rPr>
        <w:t> </w:t>
      </w:r>
      <w:r>
        <w:rPr/>
        <w:t>dne</w:t>
      </w:r>
      <w:r>
        <w:rPr>
          <w:spacing w:val="-2"/>
        </w:rPr>
        <w:t> 11.04.2024,</w:t>
      </w:r>
    </w:p>
    <w:p>
      <w:pPr>
        <w:pStyle w:val="BodyText"/>
        <w:rPr>
          <w:sz w:val="24"/>
        </w:rPr>
      </w:pPr>
    </w:p>
    <w:p>
      <w:pPr>
        <w:pStyle w:val="BodyText"/>
        <w:rPr>
          <w:sz w:val="24"/>
        </w:rPr>
      </w:pPr>
    </w:p>
    <w:p>
      <w:pPr>
        <w:pStyle w:val="BodyText"/>
        <w:rPr>
          <w:sz w:val="24"/>
        </w:rPr>
      </w:pPr>
    </w:p>
    <w:p>
      <w:pPr>
        <w:pStyle w:val="BodyText"/>
        <w:rPr>
          <w:sz w:val="24"/>
        </w:rPr>
      </w:pPr>
    </w:p>
    <w:p>
      <w:pPr>
        <w:pStyle w:val="BodyText"/>
        <w:rPr>
          <w:sz w:val="24"/>
        </w:rPr>
      </w:pPr>
    </w:p>
    <w:p>
      <w:pPr>
        <w:pStyle w:val="BodyText"/>
        <w:rPr>
          <w:sz w:val="24"/>
        </w:rPr>
      </w:pPr>
    </w:p>
    <w:p>
      <w:pPr>
        <w:pStyle w:val="BodyText"/>
        <w:rPr>
          <w:sz w:val="24"/>
        </w:rPr>
      </w:pPr>
    </w:p>
    <w:p>
      <w:pPr>
        <w:pStyle w:val="BodyText"/>
        <w:rPr>
          <w:sz w:val="24"/>
        </w:rPr>
      </w:pPr>
    </w:p>
    <w:p>
      <w:pPr>
        <w:pStyle w:val="BodyText"/>
        <w:rPr>
          <w:sz w:val="24"/>
        </w:rPr>
      </w:pPr>
    </w:p>
    <w:p>
      <w:pPr>
        <w:pStyle w:val="BodyText"/>
        <w:rPr>
          <w:sz w:val="24"/>
        </w:rPr>
      </w:pPr>
    </w:p>
    <w:p>
      <w:pPr>
        <w:pStyle w:val="BodyText"/>
        <w:rPr>
          <w:sz w:val="24"/>
        </w:rPr>
      </w:pPr>
    </w:p>
    <w:p>
      <w:pPr>
        <w:pStyle w:val="BodyText"/>
        <w:rPr>
          <w:sz w:val="24"/>
        </w:rPr>
      </w:pPr>
    </w:p>
    <w:p>
      <w:pPr>
        <w:pStyle w:val="BodyText"/>
        <w:rPr>
          <w:sz w:val="24"/>
        </w:rPr>
      </w:pPr>
    </w:p>
    <w:p>
      <w:pPr>
        <w:pStyle w:val="BodyText"/>
        <w:rPr>
          <w:sz w:val="24"/>
        </w:rPr>
      </w:pPr>
    </w:p>
    <w:p>
      <w:pPr>
        <w:pStyle w:val="BodyText"/>
        <w:rPr>
          <w:sz w:val="24"/>
        </w:rPr>
      </w:pPr>
    </w:p>
    <w:p>
      <w:pPr>
        <w:pStyle w:val="BodyText"/>
        <w:rPr>
          <w:sz w:val="24"/>
        </w:rPr>
      </w:pPr>
    </w:p>
    <w:p>
      <w:pPr>
        <w:pStyle w:val="BodyText"/>
        <w:rPr>
          <w:sz w:val="24"/>
        </w:rPr>
      </w:pPr>
    </w:p>
    <w:p>
      <w:pPr>
        <w:pStyle w:val="BodyText"/>
        <w:spacing w:before="52"/>
        <w:rPr>
          <w:sz w:val="24"/>
        </w:rPr>
      </w:pPr>
    </w:p>
    <w:p>
      <w:pPr>
        <w:spacing w:before="0"/>
        <w:ind w:left="0" w:right="0" w:firstLine="0"/>
        <w:jc w:val="center"/>
        <w:rPr>
          <w:rFonts w:ascii="Arial"/>
          <w:sz w:val="24"/>
        </w:rPr>
      </w:pPr>
      <w:r>
        <w:rPr>
          <w:rFonts w:ascii="Arial"/>
          <w:spacing w:val="-10"/>
          <w:sz w:val="24"/>
        </w:rPr>
        <w:t>2</w:t>
      </w:r>
    </w:p>
    <w:sectPr>
      <w:type w:val="continuous"/>
      <w:pgSz w:w="11910" w:h="16840"/>
      <w:pgMar w:top="740" w:bottom="280" w:left="740" w:right="74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EE"/>
    <w:family w:val="roman"/>
    <w:pitch w:val="variable"/>
  </w:font>
  <w:font w:name="Arial">
    <w:altName w:val="Arial"/>
    <w:charset w:val="EE"/>
    <w:family w:val="swiss"/>
    <w:pitch w:val="variable"/>
  </w:font>
  <w:font w:name="Calibri">
    <w:altName w:val="Calibri"/>
    <w:charset w:val="EE"/>
    <w:family w:val="swiss"/>
    <w:pitch w:val="variable"/>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multiLevelType w:val="hybridMultilevel"/>
    <w:lvl w:ilvl="0">
      <w:start w:val="1"/>
      <w:numFmt w:val="decimal"/>
      <w:lvlText w:val="%1."/>
      <w:lvlJc w:val="left"/>
      <w:pPr>
        <w:ind w:left="676" w:hanging="567"/>
        <w:jc w:val="right"/>
      </w:pPr>
      <w:rPr>
        <w:rFonts w:hint="default" w:ascii="Calibri" w:hAnsi="Calibri" w:eastAsia="Calibri" w:cs="Calibri"/>
        <w:b w:val="0"/>
        <w:bCs w:val="0"/>
        <w:i w:val="0"/>
        <w:iCs w:val="0"/>
        <w:spacing w:val="0"/>
        <w:w w:val="100"/>
        <w:sz w:val="22"/>
        <w:szCs w:val="22"/>
        <w:lang w:val="cs-CZ" w:eastAsia="en-US" w:bidi="ar-SA"/>
      </w:rPr>
    </w:lvl>
    <w:lvl w:ilvl="1">
      <w:start w:val="0"/>
      <w:numFmt w:val="bullet"/>
      <w:lvlText w:val="•"/>
      <w:lvlJc w:val="left"/>
      <w:pPr>
        <w:ind w:left="1654" w:hanging="567"/>
      </w:pPr>
      <w:rPr>
        <w:rFonts w:hint="default"/>
        <w:lang w:val="cs-CZ" w:eastAsia="en-US" w:bidi="ar-SA"/>
      </w:rPr>
    </w:lvl>
    <w:lvl w:ilvl="2">
      <w:start w:val="0"/>
      <w:numFmt w:val="bullet"/>
      <w:lvlText w:val="•"/>
      <w:lvlJc w:val="left"/>
      <w:pPr>
        <w:ind w:left="2629" w:hanging="567"/>
      </w:pPr>
      <w:rPr>
        <w:rFonts w:hint="default"/>
        <w:lang w:val="cs-CZ" w:eastAsia="en-US" w:bidi="ar-SA"/>
      </w:rPr>
    </w:lvl>
    <w:lvl w:ilvl="3">
      <w:start w:val="0"/>
      <w:numFmt w:val="bullet"/>
      <w:lvlText w:val="•"/>
      <w:lvlJc w:val="left"/>
      <w:pPr>
        <w:ind w:left="3603" w:hanging="567"/>
      </w:pPr>
      <w:rPr>
        <w:rFonts w:hint="default"/>
        <w:lang w:val="cs-CZ" w:eastAsia="en-US" w:bidi="ar-SA"/>
      </w:rPr>
    </w:lvl>
    <w:lvl w:ilvl="4">
      <w:start w:val="0"/>
      <w:numFmt w:val="bullet"/>
      <w:lvlText w:val="•"/>
      <w:lvlJc w:val="left"/>
      <w:pPr>
        <w:ind w:left="4578" w:hanging="567"/>
      </w:pPr>
      <w:rPr>
        <w:rFonts w:hint="default"/>
        <w:lang w:val="cs-CZ" w:eastAsia="en-US" w:bidi="ar-SA"/>
      </w:rPr>
    </w:lvl>
    <w:lvl w:ilvl="5">
      <w:start w:val="0"/>
      <w:numFmt w:val="bullet"/>
      <w:lvlText w:val="•"/>
      <w:lvlJc w:val="left"/>
      <w:pPr>
        <w:ind w:left="5553" w:hanging="567"/>
      </w:pPr>
      <w:rPr>
        <w:rFonts w:hint="default"/>
        <w:lang w:val="cs-CZ" w:eastAsia="en-US" w:bidi="ar-SA"/>
      </w:rPr>
    </w:lvl>
    <w:lvl w:ilvl="6">
      <w:start w:val="0"/>
      <w:numFmt w:val="bullet"/>
      <w:lvlText w:val="•"/>
      <w:lvlJc w:val="left"/>
      <w:pPr>
        <w:ind w:left="6527" w:hanging="567"/>
      </w:pPr>
      <w:rPr>
        <w:rFonts w:hint="default"/>
        <w:lang w:val="cs-CZ" w:eastAsia="en-US" w:bidi="ar-SA"/>
      </w:rPr>
    </w:lvl>
    <w:lvl w:ilvl="7">
      <w:start w:val="0"/>
      <w:numFmt w:val="bullet"/>
      <w:lvlText w:val="•"/>
      <w:lvlJc w:val="left"/>
      <w:pPr>
        <w:ind w:left="7502" w:hanging="567"/>
      </w:pPr>
      <w:rPr>
        <w:rFonts w:hint="default"/>
        <w:lang w:val="cs-CZ" w:eastAsia="en-US" w:bidi="ar-SA"/>
      </w:rPr>
    </w:lvl>
    <w:lvl w:ilvl="8">
      <w:start w:val="0"/>
      <w:numFmt w:val="bullet"/>
      <w:lvlText w:val="•"/>
      <w:lvlJc w:val="left"/>
      <w:pPr>
        <w:ind w:left="8477" w:hanging="567"/>
      </w:pPr>
      <w:rPr>
        <w:rFonts w:hint="default"/>
        <w:lang w:val="cs-CZ" w:eastAsia="en-US" w:bidi="ar-S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Calibri" w:hAnsi="Calibri" w:eastAsia="Calibri" w:cs="Calibri"/>
      <w:lang w:val="cs-CZ" w:eastAsia="en-US" w:bidi="ar-SA"/>
    </w:rPr>
  </w:style>
  <w:style w:styleId="BodyText" w:type="paragraph">
    <w:name w:val="Body Text"/>
    <w:basedOn w:val="Normal"/>
    <w:uiPriority w:val="1"/>
    <w:qFormat/>
    <w:pPr/>
    <w:rPr>
      <w:rFonts w:ascii="Calibri" w:hAnsi="Calibri" w:eastAsia="Calibri" w:cs="Calibri"/>
      <w:sz w:val="22"/>
      <w:szCs w:val="22"/>
      <w:lang w:val="cs-CZ" w:eastAsia="en-US" w:bidi="ar-SA"/>
    </w:rPr>
  </w:style>
  <w:style w:styleId="Title" w:type="paragraph">
    <w:name w:val="Title"/>
    <w:basedOn w:val="Normal"/>
    <w:uiPriority w:val="1"/>
    <w:qFormat/>
    <w:pPr>
      <w:spacing w:before="94" w:line="276" w:lineRule="exact"/>
      <w:ind w:left="1346"/>
    </w:pPr>
    <w:rPr>
      <w:rFonts w:ascii="Arial" w:hAnsi="Arial" w:eastAsia="Arial" w:cs="Arial"/>
      <w:b/>
      <w:bCs/>
      <w:sz w:val="24"/>
      <w:szCs w:val="24"/>
      <w:lang w:val="cs-CZ" w:eastAsia="en-US" w:bidi="ar-SA"/>
    </w:rPr>
  </w:style>
  <w:style w:styleId="ListParagraph" w:type="paragraph">
    <w:name w:val="List Paragraph"/>
    <w:basedOn w:val="Normal"/>
    <w:uiPriority w:val="1"/>
    <w:qFormat/>
    <w:pPr>
      <w:ind w:left="676" w:hanging="567"/>
      <w:jc w:val="both"/>
    </w:pPr>
    <w:rPr>
      <w:rFonts w:ascii="Calibri" w:hAnsi="Calibri" w:eastAsia="Calibri" w:cs="Calibri"/>
      <w:lang w:val="cs-CZ" w:eastAsia="en-US" w:bidi="ar-SA"/>
    </w:rPr>
  </w:style>
  <w:style w:styleId="TableParagraph" w:type="paragraph">
    <w:name w:val="Table Paragraph"/>
    <w:basedOn w:val="Normal"/>
    <w:uiPriority w:val="1"/>
    <w:qFormat/>
    <w:pPr>
      <w:spacing w:line="233" w:lineRule="exact"/>
    </w:pPr>
    <w:rPr>
      <w:rFonts w:ascii="Arial" w:hAnsi="Arial" w:eastAsia="Arial" w:cs="Arial"/>
      <w:lang w:val="cs-CZ"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image" Target="media/image1.jpeg"/><Relationship Id="rId6" Type="http://schemas.openxmlformats.org/officeDocument/2006/relationships/hyperlink" Target="mailto:tomas.hrna@novyjicin.cz" TargetMode="External"/><Relationship Id="rId7" Type="http://schemas.openxmlformats.org/officeDocument/2006/relationships/hyperlink" Target="mailto:e-podatelna@novyjicin.cz" TargetMode="External"/><Relationship Id="rId8" Type="http://schemas.openxmlformats.org/officeDocument/2006/relationships/hyperlink" Target="http://WWW.NOVYJICIN.CZ/" TargetMode="External"/><Relationship Id="rId9"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2024-05-18T13:27:52Z</dcterms:created>
  <dcterms:modified xsi:type="dcterms:W3CDTF">2024-05-18T13:27:52Z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2024-04-26T00:00:00Z</vt:filetime>
  </property>
  <property fmtid="{D5CDD505-2E9C-101B-9397-08002B2CF9AE}" pid="3" name="Creator">
    <vt:lpwstr>Microsoft® Word 2019</vt:lpwstr>
  </property>
  <property fmtid="{D5CDD505-2E9C-101B-9397-08002B2CF9AE}" pid="4" name="LastSaved">
    <vt:filetime>2024-05-18T00:00:00Z</vt:filetime>
  </property>
  <property fmtid="{D5CDD505-2E9C-101B-9397-08002B2CF9AE}" pid="5" name="Producer">
    <vt:lpwstr>Microsoft® Word 2019; modified using iTextSharp™ 5.5.13 ©2000-2018 iText Group NV (AGPL-version)</vt:lpwstr>
  </property>
</Properties>
</file>